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100" w:lineRule="exact"/>
        <w:jc w:val="right"/>
        <w:rPr>
          <w:rFonts w:ascii="楷体_GB2312" w:eastAsia="楷体_GB2312"/>
          <w:sz w:val="37"/>
          <w:szCs w:val="37"/>
        </w:rPr>
      </w:pPr>
      <w:r>
        <w:rPr>
          <w:rFonts w:hint="eastAsia" w:ascii="楷体_GB2312" w:eastAsia="楷体_GB2312"/>
          <w:sz w:val="37"/>
          <w:szCs w:val="37"/>
        </w:rPr>
        <w:t xml:space="preserve">     </w:t>
      </w:r>
    </w:p>
    <w:p>
      <w:pPr>
        <w:wordWrap w:val="0"/>
        <w:jc w:val="right"/>
        <w:rPr>
          <w:rFonts w:ascii="楷体_GB2312" w:eastAsia="楷体_GB2312"/>
          <w:sz w:val="37"/>
          <w:szCs w:val="37"/>
        </w:rPr>
      </w:pPr>
      <w:r>
        <w:rPr>
          <w:rFonts w:hint="eastAsia" w:ascii="楷体_GB2312" w:eastAsia="楷体_GB2312"/>
          <w:sz w:val="37"/>
          <w:szCs w:val="37"/>
        </w:rPr>
        <w:t>第</w:t>
      </w:r>
      <w:r>
        <w:rPr>
          <w:rFonts w:hint="eastAsia" w:ascii="楷体_GB2312" w:eastAsia="楷体_GB2312"/>
          <w:sz w:val="37"/>
          <w:szCs w:val="37"/>
          <w:u w:val="single"/>
        </w:rPr>
        <w:t xml:space="preserve">  </w:t>
      </w:r>
      <w:r>
        <w:rPr>
          <w:rFonts w:ascii="楷体_GB2312" w:eastAsia="楷体_GB2312"/>
          <w:sz w:val="37"/>
          <w:szCs w:val="37"/>
          <w:u w:val="single"/>
        </w:rPr>
        <w:t xml:space="preserve"> 117</w:t>
      </w:r>
      <w:r>
        <w:rPr>
          <w:rFonts w:hint="eastAsia" w:ascii="楷体_GB2312" w:eastAsia="楷体_GB2312"/>
          <w:sz w:val="37"/>
          <w:szCs w:val="37"/>
          <w:u w:val="single"/>
        </w:rPr>
        <w:t xml:space="preserve">  </w:t>
      </w:r>
      <w:r>
        <w:rPr>
          <w:rFonts w:hint="eastAsia" w:ascii="楷体_GB2312" w:eastAsia="楷体_GB2312"/>
          <w:sz w:val="37"/>
          <w:szCs w:val="37"/>
        </w:rPr>
        <w:t>号</w:t>
      </w:r>
    </w:p>
    <w:p>
      <w:pPr>
        <w:wordWrap w:val="0"/>
        <w:jc w:val="right"/>
        <w:rPr>
          <w:rFonts w:ascii="楷体_GB2312" w:eastAsia="楷体_GB2312"/>
          <w:sz w:val="40"/>
          <w:szCs w:val="40"/>
        </w:rPr>
      </w:pPr>
      <w:r>
        <w:rPr>
          <w:rFonts w:hint="eastAsia" w:ascii="楷体_GB2312" w:eastAsia="楷体_GB2312"/>
          <w:sz w:val="37"/>
          <w:szCs w:val="37"/>
        </w:rPr>
        <w:t xml:space="preserve">     第</w:t>
      </w:r>
      <w:r>
        <w:rPr>
          <w:rFonts w:hint="eastAsia" w:ascii="楷体_GB2312" w:eastAsia="楷体_GB2312"/>
          <w:sz w:val="37"/>
          <w:szCs w:val="37"/>
          <w:u w:val="single"/>
        </w:rPr>
        <w:t xml:space="preserve">        </w:t>
      </w:r>
      <w:r>
        <w:rPr>
          <w:rFonts w:hint="eastAsia" w:ascii="楷体_GB2312" w:eastAsia="楷体_GB2312"/>
          <w:sz w:val="37"/>
          <w:szCs w:val="37"/>
        </w:rPr>
        <w:t>类</w:t>
      </w:r>
    </w:p>
    <w:p>
      <w:pPr>
        <w:spacing w:line="880" w:lineRule="exact"/>
        <w:jc w:val="center"/>
        <w:rPr>
          <w:rFonts w:ascii="宋体" w:hAnsi="宋体"/>
          <w:sz w:val="52"/>
          <w:szCs w:val="52"/>
        </w:rPr>
      </w:pPr>
      <w:r>
        <w:rPr>
          <w:rFonts w:hint="eastAsia" w:ascii="宋体" w:hAnsi="宋体"/>
          <w:sz w:val="52"/>
          <w:szCs w:val="52"/>
        </w:rPr>
        <w:t>中国人民政治协商会议绍兴市委员会</w:t>
      </w:r>
    </w:p>
    <w:p>
      <w:pPr>
        <w:spacing w:line="900" w:lineRule="exact"/>
        <w:jc w:val="center"/>
        <w:rPr>
          <w:rFonts w:ascii="宋体" w:hAnsi="宋体"/>
          <w:sz w:val="84"/>
          <w:szCs w:val="84"/>
        </w:rPr>
      </w:pPr>
      <w:r>
        <w:rPr>
          <w:rFonts w:hint="eastAsia" w:ascii="宋体" w:hAnsi="宋体"/>
          <w:sz w:val="84"/>
          <w:szCs w:val="84"/>
        </w:rPr>
        <w:t>提     案</w:t>
      </w:r>
    </w:p>
    <w:p>
      <w:pPr>
        <w:spacing w:line="100" w:lineRule="exact"/>
        <w:jc w:val="center"/>
        <w:rPr>
          <w:rFonts w:ascii="方正小标宋简体" w:eastAsia="方正小标宋简体"/>
          <w:sz w:val="80"/>
          <w:szCs w:val="80"/>
        </w:rPr>
      </w:pPr>
    </w:p>
    <w:p>
      <w:pPr>
        <w:spacing w:line="240" w:lineRule="exact"/>
        <w:jc w:val="center"/>
        <w:rPr>
          <w:rFonts w:ascii="方正小标宋简体" w:eastAsia="方正小标宋简体"/>
          <w:sz w:val="80"/>
          <w:szCs w:val="80"/>
        </w:rPr>
      </w:pPr>
    </w:p>
    <w:p>
      <w:pPr>
        <w:rPr>
          <w:rFonts w:ascii="楷体_GB2312" w:eastAsia="楷体_GB2312"/>
          <w:sz w:val="32"/>
          <w:szCs w:val="32"/>
        </w:rPr>
      </w:pPr>
      <w:r>
        <w:rPr>
          <w:rFonts w:hint="eastAsia" w:ascii="楷体_GB2312" w:eastAsia="楷体_GB2312"/>
          <w:sz w:val="37"/>
          <w:szCs w:val="37"/>
        </w:rPr>
        <w:t>案由</w:t>
      </w:r>
      <w:r>
        <w:rPr>
          <w:rFonts w:hint="eastAsia" w:ascii="黑体" w:eastAsia="黑体"/>
          <w:sz w:val="37"/>
          <w:szCs w:val="37"/>
        </w:rPr>
        <w:t>：</w:t>
      </w:r>
      <w:r>
        <w:rPr>
          <w:rFonts w:hint="eastAsia" w:ascii="楷体_GB2312" w:eastAsia="楷体_GB2312"/>
          <w:sz w:val="32"/>
          <w:szCs w:val="32"/>
        </w:rPr>
        <w:t xml:space="preserve"> </w:t>
      </w:r>
      <w:r>
        <w:rPr>
          <w:rFonts w:ascii="楷体_GB2312" w:eastAsia="楷体_GB2312"/>
          <w:sz w:val="32"/>
          <w:szCs w:val="32"/>
        </w:rPr>
        <w:t>关于设立未成年人司法社工团体的建议</w:t>
      </w:r>
    </w:p>
    <w:p>
      <w:pPr>
        <w:spacing w:line="100" w:lineRule="exact"/>
        <w:rPr>
          <w:rFonts w:ascii="楷体_GB2312" w:eastAsia="楷体_GB2312"/>
          <w:sz w:val="36"/>
          <w:szCs w:val="36"/>
        </w:rPr>
      </w:pPr>
    </w:p>
    <w:tbl>
      <w:tblPr>
        <w:tblStyle w:val="9"/>
        <w:tblW w:w="9855" w:type="dxa"/>
        <w:jc w:val="center"/>
        <w:tblInd w:w="0" w:type="dxa"/>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2523"/>
        <w:gridCol w:w="2316"/>
        <w:gridCol w:w="3794"/>
        <w:gridCol w:w="1222"/>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40"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提案人</w:t>
            </w:r>
          </w:p>
        </w:tc>
        <w:tc>
          <w:tcPr>
            <w:tcW w:w="2316"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联系电话</w:t>
            </w:r>
          </w:p>
        </w:tc>
        <w:tc>
          <w:tcPr>
            <w:tcW w:w="3794"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通 讯 地 址</w:t>
            </w:r>
          </w:p>
        </w:tc>
        <w:tc>
          <w:tcPr>
            <w:tcW w:w="1222" w:type="dxa"/>
            <w:vAlign w:val="center"/>
          </w:tcPr>
          <w:p>
            <w:pPr>
              <w:spacing w:line="560" w:lineRule="exact"/>
              <w:jc w:val="center"/>
              <w:rPr>
                <w:rFonts w:ascii="楷体_GB2312" w:eastAsia="楷体_GB2312"/>
                <w:sz w:val="36"/>
                <w:szCs w:val="36"/>
              </w:rPr>
            </w:pPr>
            <w:r>
              <w:rPr>
                <w:rFonts w:hint="eastAsia" w:ascii="楷体_GB2312" w:eastAsia="楷体_GB2312"/>
                <w:sz w:val="36"/>
                <w:szCs w:val="36"/>
              </w:rPr>
              <w:t>邮 编</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r>
              <w:rPr>
                <w:rFonts w:hint="eastAsia" w:ascii="宋体" w:hAnsi="宋体"/>
                <w:sz w:val="28"/>
                <w:szCs w:val="28"/>
              </w:rPr>
              <w:t>相垚</w:t>
            </w:r>
          </w:p>
        </w:tc>
        <w:tc>
          <w:tcPr>
            <w:tcW w:w="2316" w:type="dxa"/>
          </w:tcPr>
          <w:p>
            <w:pPr>
              <w:spacing w:line="560" w:lineRule="exact"/>
              <w:jc w:val="center"/>
              <w:rPr>
                <w:rFonts w:ascii="宋体" w:hAnsi="宋体"/>
                <w:sz w:val="28"/>
                <w:szCs w:val="28"/>
              </w:rPr>
            </w:pPr>
            <w:r>
              <w:rPr>
                <w:rFonts w:hint="eastAsia" w:ascii="宋体" w:hAnsi="宋体"/>
                <w:sz w:val="28"/>
                <w:szCs w:val="28"/>
              </w:rPr>
              <w:t>15958599322</w:t>
            </w:r>
          </w:p>
        </w:tc>
        <w:tc>
          <w:tcPr>
            <w:tcW w:w="3794" w:type="dxa"/>
          </w:tcPr>
          <w:p>
            <w:pPr>
              <w:spacing w:line="560" w:lineRule="exact"/>
              <w:jc w:val="center"/>
              <w:rPr>
                <w:rFonts w:ascii="宋体" w:hAnsi="宋体"/>
                <w:sz w:val="28"/>
                <w:szCs w:val="28"/>
              </w:rPr>
            </w:pPr>
            <w:r>
              <w:rPr>
                <w:rFonts w:hint="eastAsia" w:ascii="宋体" w:hAnsi="宋体"/>
                <w:sz w:val="28"/>
                <w:szCs w:val="28"/>
              </w:rPr>
              <w:t>嵊州市黄金水岸38幢二单元401室</w:t>
            </w: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ind w:firstLine="560" w:firstLineChars="200"/>
              <w:rPr>
                <w:rFonts w:ascii="宋体" w:hAnsi="宋体"/>
                <w:sz w:val="28"/>
                <w:szCs w:val="28"/>
              </w:rPr>
            </w:pPr>
          </w:p>
        </w:tc>
        <w:tc>
          <w:tcPr>
            <w:tcW w:w="2316" w:type="dxa"/>
          </w:tcPr>
          <w:p>
            <w:pPr>
              <w:spacing w:line="560" w:lineRule="exact"/>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9855" w:type="dxa"/>
            <w:gridSpan w:val="4"/>
          </w:tcPr>
          <w:p>
            <w:pPr>
              <w:spacing w:line="560" w:lineRule="exact"/>
              <w:ind w:firstLine="180" w:firstLineChars="50"/>
              <w:rPr>
                <w:rFonts w:ascii="方正小标宋简体" w:eastAsia="方正小标宋简体"/>
                <w:sz w:val="40"/>
                <w:szCs w:val="40"/>
              </w:rPr>
            </w:pPr>
            <w:r>
              <w:rPr>
                <w:rFonts w:hint="eastAsia" w:ascii="楷体_GB2312" w:eastAsia="楷体_GB2312"/>
                <w:sz w:val="36"/>
                <w:szCs w:val="36"/>
              </w:rPr>
              <w:t>附议人</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tcPr>
          <w:p>
            <w:pPr>
              <w:spacing w:line="560" w:lineRule="exact"/>
              <w:jc w:val="center"/>
              <w:rPr>
                <w:rFonts w:ascii="宋体" w:hAnsi="宋体"/>
                <w:sz w:val="28"/>
                <w:szCs w:val="28"/>
              </w:rPr>
            </w:pPr>
          </w:p>
        </w:tc>
        <w:tc>
          <w:tcPr>
            <w:tcW w:w="2316" w:type="dxa"/>
          </w:tcPr>
          <w:p>
            <w:pPr>
              <w:spacing w:line="560" w:lineRule="exact"/>
              <w:jc w:val="center"/>
              <w:rPr>
                <w:rFonts w:ascii="宋体" w:hAnsi="宋体"/>
                <w:sz w:val="28"/>
                <w:szCs w:val="28"/>
              </w:rPr>
            </w:pPr>
          </w:p>
        </w:tc>
        <w:tc>
          <w:tcPr>
            <w:tcW w:w="3794" w:type="dxa"/>
          </w:tcPr>
          <w:p>
            <w:pPr>
              <w:spacing w:line="560" w:lineRule="exact"/>
              <w:jc w:val="center"/>
              <w:rPr>
                <w:rFonts w:ascii="宋体" w:hAnsi="宋体"/>
                <w:sz w:val="28"/>
                <w:szCs w:val="28"/>
              </w:rPr>
            </w:pPr>
          </w:p>
        </w:tc>
        <w:tc>
          <w:tcPr>
            <w:tcW w:w="1222" w:type="dxa"/>
          </w:tcPr>
          <w:p>
            <w:pPr>
              <w:spacing w:line="560" w:lineRule="exact"/>
              <w:jc w:val="center"/>
              <w:rPr>
                <w:rFonts w:ascii="宋体" w:hAnsi="宋体"/>
                <w:sz w:val="28"/>
                <w:szCs w:val="28"/>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2523" w:type="dxa"/>
            <w:vAlign w:val="center"/>
          </w:tcPr>
          <w:p>
            <w:pPr>
              <w:spacing w:line="400" w:lineRule="exact"/>
              <w:jc w:val="center"/>
              <w:rPr>
                <w:rFonts w:ascii="楷体_GB2312" w:eastAsia="楷体_GB2312"/>
                <w:sz w:val="36"/>
                <w:szCs w:val="36"/>
              </w:rPr>
            </w:pPr>
            <w:r>
              <w:rPr>
                <w:rFonts w:hint="eastAsia" w:ascii="楷体_GB2312" w:eastAsia="楷体_GB2312"/>
                <w:sz w:val="36"/>
                <w:szCs w:val="36"/>
              </w:rPr>
              <w:t>集体提案单位</w:t>
            </w:r>
          </w:p>
          <w:p>
            <w:pPr>
              <w:spacing w:line="400" w:lineRule="exact"/>
              <w:jc w:val="center"/>
              <w:rPr>
                <w:rFonts w:ascii="楷体_GB2312" w:eastAsia="楷体_GB2312"/>
                <w:sz w:val="36"/>
                <w:szCs w:val="36"/>
              </w:rPr>
            </w:pPr>
            <w:r>
              <w:rPr>
                <w:rFonts w:hint="eastAsia" w:ascii="楷体_GB2312" w:eastAsia="楷体_GB2312"/>
                <w:sz w:val="36"/>
                <w:szCs w:val="36"/>
              </w:rPr>
              <w:t>负责人签名处</w:t>
            </w:r>
          </w:p>
        </w:tc>
        <w:tc>
          <w:tcPr>
            <w:tcW w:w="7332" w:type="dxa"/>
            <w:gridSpan w:val="3"/>
          </w:tcPr>
          <w:p>
            <w:pPr>
              <w:spacing w:line="560" w:lineRule="exact"/>
              <w:jc w:val="center"/>
              <w:rPr>
                <w:rFonts w:ascii="方正小标宋简体" w:eastAsia="方正小标宋简体"/>
                <w:sz w:val="40"/>
                <w:szCs w:val="40"/>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187" w:hRule="atLeast"/>
          <w:jc w:val="center"/>
        </w:trPr>
        <w:tc>
          <w:tcPr>
            <w:tcW w:w="9855" w:type="dxa"/>
            <w:gridSpan w:val="4"/>
          </w:tcPr>
          <w:p>
            <w:pPr>
              <w:spacing w:line="40" w:lineRule="exact"/>
              <w:jc w:val="center"/>
              <w:rPr>
                <w:rFonts w:ascii="方正小标宋简体" w:eastAsia="方正小标宋简体"/>
                <w:sz w:val="11"/>
                <w:szCs w:val="11"/>
                <w:u w:val="single"/>
              </w:rPr>
            </w:pP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907" w:hRule="atLeast"/>
          <w:jc w:val="center"/>
        </w:trPr>
        <w:tc>
          <w:tcPr>
            <w:tcW w:w="2523" w:type="dxa"/>
            <w:vMerge w:val="restart"/>
            <w:vAlign w:val="center"/>
          </w:tcPr>
          <w:p>
            <w:pPr>
              <w:spacing w:line="600" w:lineRule="exact"/>
              <w:jc w:val="center"/>
              <w:rPr>
                <w:rFonts w:ascii="楷体_GB2312" w:eastAsia="楷体_GB2312"/>
                <w:sz w:val="36"/>
                <w:szCs w:val="36"/>
              </w:rPr>
            </w:pPr>
            <w:r>
              <w:rPr>
                <w:rFonts w:hint="eastAsia" w:ascii="楷体_GB2312" w:eastAsia="楷体_GB2312"/>
                <w:sz w:val="36"/>
                <w:szCs w:val="36"/>
              </w:rPr>
              <w:t>提案审查</w:t>
            </w:r>
          </w:p>
          <w:p>
            <w:pPr>
              <w:spacing w:line="600" w:lineRule="exact"/>
              <w:jc w:val="center"/>
              <w:rPr>
                <w:rFonts w:ascii="楷体_GB2312" w:eastAsia="楷体_GB2312"/>
                <w:sz w:val="36"/>
                <w:szCs w:val="36"/>
              </w:rPr>
            </w:pPr>
            <w:r>
              <w:rPr>
                <w:rFonts w:hint="eastAsia" w:ascii="楷体_GB2312" w:eastAsia="楷体_GB2312"/>
                <w:sz w:val="36"/>
                <w:szCs w:val="36"/>
              </w:rPr>
              <w:t>机构意见</w:t>
            </w:r>
          </w:p>
        </w:tc>
        <w:tc>
          <w:tcPr>
            <w:tcW w:w="2316" w:type="dxa"/>
            <w:vMerge w:val="restart"/>
          </w:tcPr>
          <w:p>
            <w:pPr>
              <w:spacing w:line="600" w:lineRule="exact"/>
              <w:jc w:val="center"/>
              <w:rPr>
                <w:rFonts w:ascii="楷体_GB2312" w:eastAsia="楷体_GB2312"/>
                <w:sz w:val="36"/>
                <w:szCs w:val="36"/>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主办　</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cantSplit/>
          <w:trHeight w:val="907" w:hRule="atLeast"/>
          <w:jc w:val="center"/>
        </w:trPr>
        <w:tc>
          <w:tcPr>
            <w:tcW w:w="2523" w:type="dxa"/>
            <w:vMerge w:val="continue"/>
          </w:tcPr>
          <w:p>
            <w:pPr>
              <w:spacing w:line="400" w:lineRule="exact"/>
              <w:jc w:val="center"/>
              <w:rPr>
                <w:rFonts w:ascii="楷体_GB2312" w:eastAsia="楷体_GB2312"/>
                <w:sz w:val="36"/>
                <w:szCs w:val="36"/>
              </w:rPr>
            </w:pPr>
          </w:p>
        </w:tc>
        <w:tc>
          <w:tcPr>
            <w:tcW w:w="2316" w:type="dxa"/>
            <w:vMerge w:val="continue"/>
          </w:tcPr>
          <w:p>
            <w:pPr>
              <w:spacing w:line="560" w:lineRule="exact"/>
              <w:jc w:val="center"/>
              <w:rPr>
                <w:rFonts w:ascii="方正小标宋简体" w:eastAsia="方正小标宋简体"/>
                <w:sz w:val="40"/>
                <w:szCs w:val="40"/>
                <w:u w:val="single"/>
              </w:rPr>
            </w:pPr>
          </w:p>
        </w:tc>
        <w:tc>
          <w:tcPr>
            <w:tcW w:w="5016" w:type="dxa"/>
            <w:gridSpan w:val="2"/>
            <w:vAlign w:val="center"/>
          </w:tcPr>
          <w:p>
            <w:pPr>
              <w:spacing w:line="600" w:lineRule="exact"/>
              <w:rPr>
                <w:rFonts w:ascii="楷体_GB2312" w:eastAsia="楷体_GB2312"/>
                <w:sz w:val="36"/>
                <w:szCs w:val="36"/>
              </w:rPr>
            </w:pPr>
            <w:r>
              <w:rPr>
                <w:rFonts w:hint="eastAsia" w:ascii="楷体_GB2312" w:eastAsia="楷体_GB2312"/>
                <w:sz w:val="36"/>
                <w:szCs w:val="36"/>
              </w:rPr>
              <w:t>会办</w:t>
            </w:r>
          </w:p>
        </w:tc>
      </w:tr>
    </w:tbl>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40" w:lineRule="exact"/>
        <w:ind w:firstLine="5580" w:firstLineChars="1550"/>
        <w:rPr>
          <w:rFonts w:ascii="楷体_GB2312" w:eastAsia="楷体_GB2312"/>
          <w:sz w:val="36"/>
          <w:szCs w:val="36"/>
        </w:rPr>
      </w:pPr>
    </w:p>
    <w:p>
      <w:pPr>
        <w:spacing w:line="560" w:lineRule="exact"/>
        <w:jc w:val="right"/>
        <w:rPr>
          <w:rFonts w:ascii="楷体_GB2312" w:eastAsia="楷体_GB2312"/>
          <w:sz w:val="36"/>
          <w:szCs w:val="36"/>
        </w:rPr>
      </w:pPr>
      <w:r>
        <w:rPr>
          <w:rFonts w:hint="eastAsia" w:ascii="楷体_GB2312" w:eastAsia="楷体_GB2312"/>
          <w:sz w:val="36"/>
          <w:szCs w:val="36"/>
        </w:rPr>
        <w:t>二〇二二年三月二十七日</w:t>
      </w:r>
    </w:p>
    <w:p>
      <w:pPr>
        <w:spacing w:line="40" w:lineRule="exact"/>
        <w:rPr>
          <w:rFonts w:ascii="黑体" w:eastAsia="黑体"/>
          <w:sz w:val="36"/>
          <w:szCs w:val="36"/>
        </w:rPr>
      </w:pPr>
    </w:p>
    <w:tbl>
      <w:tblPr>
        <w:tblStyle w:val="9"/>
        <w:tblW w:w="9175"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1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696" w:hRule="atLeast"/>
          <w:jc w:val="center"/>
        </w:trPr>
        <w:tc>
          <w:tcPr>
            <w:tcW w:w="9175" w:type="dxa"/>
          </w:tcPr>
          <w:p>
            <w:pPr>
              <w:spacing w:line="560" w:lineRule="exact"/>
              <w:rPr>
                <w:rFonts w:hint="eastAsia" w:ascii="黑体" w:eastAsia="黑体"/>
                <w:sz w:val="36"/>
                <w:szCs w:val="36"/>
              </w:rPr>
            </w:pPr>
            <w:r>
              <w:rPr>
                <w:rFonts w:hint="eastAsia" w:ascii="黑体" w:eastAsia="黑体"/>
                <w:sz w:val="36"/>
                <w:szCs w:val="36"/>
              </w:rPr>
              <w:t>内容：</w:t>
            </w:r>
          </w:p>
          <w:p>
            <w:pPr>
              <w:spacing w:line="560" w:lineRule="exact"/>
              <w:ind w:firstLine="560" w:firstLineChars="200"/>
              <w:rPr>
                <w:rFonts w:ascii="宋体" w:hAnsi="宋体"/>
                <w:sz w:val="28"/>
                <w:szCs w:val="28"/>
              </w:rPr>
            </w:pPr>
            <w:r>
              <w:rPr>
                <w:rFonts w:ascii="宋体" w:hAnsi="宋体"/>
                <w:sz w:val="28"/>
                <w:szCs w:val="28"/>
              </w:rPr>
              <w:t>习近平总书记曾指出：“少年儿童是祖国的未来，是中华民族的希望。”近年来未成年人犯罪案件经常成为社会的舆论焦点，引发全社会的激烈讨论。特别是2021年4月，中央全面依法治国委员会正式将“少捕慎诉慎押刑事司法政策”列入年度工作要点后，“少捕慎诉慎押”从刑事司法理念上升到刑事司法政策，也对未成年人犯罪的定罪量刑产生了重大影响，未成年人犯罪不捕率、不起诉率、附条件不起诉率逐年上升，因此如何更好地对这些未成年人进行帮教挽救成为我们政府当前义不容辞的责任。</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一、我市涉罪未成年人帮教现状分析</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根据了解，近五年来，我市经过检察机关审查起诉阶段做出相对不起诉或附条件不起诉的未成</w:t>
            </w:r>
            <w:r>
              <w:rPr>
                <w:rFonts w:hint="eastAsia" w:ascii="宋体" w:hAnsi="宋体"/>
                <w:sz w:val="28"/>
                <w:szCs w:val="28"/>
                <w:lang w:eastAsia="zh-CN"/>
              </w:rPr>
              <w:t>年</w:t>
            </w:r>
            <w:r>
              <w:rPr>
                <w:rFonts w:ascii="宋体" w:hAnsi="宋体"/>
                <w:sz w:val="28"/>
                <w:szCs w:val="28"/>
              </w:rPr>
              <w:t>人案件在法律及政策的指引下，正逐年上升，大量涉罪未成年人回归到社会。但是我市各地对于未成年人犯罪案件经过宽缓处理后的帮教考察工作的开展，至今没有一个统一的标准，也没有统一的帮教机构，导致各地做法不一，帮教效果参差不齐，难以真正达到对未成年人教育挽救的目的。</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二、我市涉罪未成年人帮教存在的主要问题</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1、帮教主体不明确。虽然刑事诉讼法规定，检察机关对附条件不起诉的未成年人犯罪嫌疑人进行监督考察。但是根据立法本意和法律规定，检察机关不是帮教的主体，只负有监督责任。因此，在各地的实际操作中，检查机关更多地也是委托第三方进行具体帮教工作的进行，比如一些爱心团体、义工组织。但是因为没有一个统一的标准，各地委托的机构各异，难以进行统一的管理和监督。</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2、帮教的质量不高。由于目前参与帮教的机构种类不一，进行帮教的活动也名目繁多，且多数机构未进行过专门系统的培训，缺乏针对未成年帮教的经验，参与帮教的人员也未系统学习过有关成年人犯罪的法律知识，导致帮教的效果参差不齐，难以对这些误入歧途的、罪行轻微的涉罪未成年人起到教育挽救的作用。</w:t>
            </w:r>
          </w:p>
          <w:p>
            <w:pPr>
              <w:spacing w:line="560" w:lineRule="exact"/>
              <w:ind w:firstLine="560" w:firstLineChars="200"/>
              <w:rPr>
                <w:rFonts w:ascii="宋体" w:hAnsi="宋体"/>
                <w:sz w:val="28"/>
                <w:szCs w:val="28"/>
              </w:rPr>
            </w:pPr>
            <w:r>
              <w:rPr>
                <w:rFonts w:ascii="宋体" w:hAnsi="宋体"/>
                <w:sz w:val="28"/>
                <w:szCs w:val="28"/>
              </w:rPr>
              <w:t>3、没有帮教成功标准。目前针对涉罪未成年人帮教的项目没有具体的帮教标准，在帮教过程中也没有具体的操作规则可以参照，均是各个爱心团体或义工组织等依据自己已有的规则在进行活动，没有专门针对涉罪未成</w:t>
            </w:r>
            <w:r>
              <w:rPr>
                <w:rFonts w:hint="eastAsia" w:ascii="宋体" w:hAnsi="宋体"/>
                <w:sz w:val="28"/>
                <w:szCs w:val="28"/>
                <w:lang w:eastAsia="zh-CN"/>
              </w:rPr>
              <w:t>年</w:t>
            </w:r>
            <w:r>
              <w:rPr>
                <w:rFonts w:ascii="宋体" w:hAnsi="宋体"/>
                <w:sz w:val="28"/>
                <w:szCs w:val="28"/>
              </w:rPr>
              <w:t>人的特点来进行帮教，因此很难判断是否达到帮教的目的，也使监督者无从监督。</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三、设立未成年人司法社工团体的意见和建议</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1、进一步出台政策、完善帮教机制。设立专门针对涉罪未成年人的司法社工团体（由各市、县等专门人员组成），制作具体的帮教流程、操作指引，制定合适未成年人的帮教活动，界定帮教成功的标准等。条件允许的情况下，聘用心理、教育、法律等方面的专家学者参与司法社工团体的日常帮教工作，实现对涉罪未成年人的精准科学帮教。</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2、加强宣传。加大对涉罪未成</w:t>
            </w:r>
            <w:r>
              <w:rPr>
                <w:rFonts w:hint="eastAsia" w:ascii="宋体" w:hAnsi="宋体"/>
                <w:sz w:val="28"/>
                <w:szCs w:val="28"/>
                <w:lang w:eastAsia="zh-CN"/>
              </w:rPr>
              <w:t>年</w:t>
            </w:r>
            <w:bookmarkStart w:id="0" w:name="_GoBack"/>
            <w:bookmarkEnd w:id="0"/>
            <w:r>
              <w:rPr>
                <w:rFonts w:ascii="宋体" w:hAnsi="宋体"/>
                <w:sz w:val="28"/>
                <w:szCs w:val="28"/>
              </w:rPr>
              <w:t>人帮教的重要性和必要性的宣传，积极对接社会上成熟的公益组织，鼓励涉罪未成年人多参加公益活动，并形成长期有效的活动机制。</w:t>
            </w:r>
            <w:r>
              <w:rPr>
                <w:rFonts w:ascii="宋体" w:hAnsi="宋体"/>
                <w:sz w:val="28"/>
                <w:szCs w:val="28"/>
              </w:rPr>
              <w:br w:type="textWrapping"/>
            </w:r>
            <w:r>
              <w:rPr>
                <w:rFonts w:hint="eastAsia" w:ascii="宋体" w:hAnsi="宋体"/>
                <w:sz w:val="28"/>
                <w:szCs w:val="28"/>
                <w:lang w:val="en-US" w:eastAsia="zh-CN"/>
              </w:rPr>
              <w:t xml:space="preserve">    </w:t>
            </w:r>
            <w:r>
              <w:rPr>
                <w:rFonts w:ascii="宋体" w:hAnsi="宋体"/>
                <w:sz w:val="28"/>
                <w:szCs w:val="28"/>
              </w:rPr>
              <w:t>3、走出去、引进来。目前国内很多的省市已经关注到这个涉罪未成</w:t>
            </w:r>
            <w:r>
              <w:rPr>
                <w:rFonts w:hint="eastAsia" w:ascii="宋体" w:hAnsi="宋体"/>
                <w:sz w:val="28"/>
                <w:szCs w:val="28"/>
                <w:lang w:eastAsia="zh-CN"/>
              </w:rPr>
              <w:t>年</w:t>
            </w:r>
            <w:r>
              <w:rPr>
                <w:rFonts w:ascii="宋体" w:hAnsi="宋体"/>
                <w:sz w:val="28"/>
                <w:szCs w:val="28"/>
              </w:rPr>
              <w:t>人不起诉的善后救济的缺失，很多地方制定了各种各样的政策，成立了各种专业的团体，值得我们关注和学习。对于一些已经建立的相关专门帮教团体，可以向他们进行考察学习，结合自己县市的实际情况，吸取优秀的经验，建立更好的教育改造机制。</w:t>
            </w:r>
          </w:p>
        </w:tc>
      </w:tr>
    </w:tbl>
    <w:p>
      <w:pPr>
        <w:spacing w:line="240" w:lineRule="atLeast"/>
      </w:pPr>
    </w:p>
    <w:sectPr>
      <w:pgSz w:w="11907" w:h="16840"/>
      <w:pgMar w:top="1077" w:right="1134" w:bottom="107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书宋_GBK">
    <w:altName w:val="Arial Unicode MS"/>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Roman"/>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Roman">
    <w:panose1 w:val="00000400000000000000"/>
    <w:charset w:val="00"/>
    <w:family w:val="auto"/>
    <w:pitch w:val="default"/>
    <w:sig w:usb0="80000027" w:usb1="0000004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85"/>
    <w:rsid w:val="00031654"/>
    <w:rsid w:val="000D09D1"/>
    <w:rsid w:val="000D5972"/>
    <w:rsid w:val="001A36A8"/>
    <w:rsid w:val="00203575"/>
    <w:rsid w:val="00275A82"/>
    <w:rsid w:val="00286685"/>
    <w:rsid w:val="002F7665"/>
    <w:rsid w:val="003126C7"/>
    <w:rsid w:val="00336167"/>
    <w:rsid w:val="0055130D"/>
    <w:rsid w:val="00582EE1"/>
    <w:rsid w:val="00642A4A"/>
    <w:rsid w:val="0067463B"/>
    <w:rsid w:val="00677CC9"/>
    <w:rsid w:val="006A2AC9"/>
    <w:rsid w:val="0073409A"/>
    <w:rsid w:val="0076639E"/>
    <w:rsid w:val="0083295B"/>
    <w:rsid w:val="00852139"/>
    <w:rsid w:val="009504A0"/>
    <w:rsid w:val="00981C28"/>
    <w:rsid w:val="0099479D"/>
    <w:rsid w:val="009B1E3E"/>
    <w:rsid w:val="009D2311"/>
    <w:rsid w:val="009D77FE"/>
    <w:rsid w:val="00A161F1"/>
    <w:rsid w:val="00A47032"/>
    <w:rsid w:val="00BD1775"/>
    <w:rsid w:val="00C41A67"/>
    <w:rsid w:val="00D14729"/>
    <w:rsid w:val="00D408BB"/>
    <w:rsid w:val="00E007BE"/>
    <w:rsid w:val="00EB6A9D"/>
    <w:rsid w:val="00F079E8"/>
    <w:rsid w:val="00F32E81"/>
    <w:rsid w:val="00F77611"/>
    <w:rsid w:val="00F91211"/>
    <w:rsid w:val="51E2631A"/>
    <w:rsid w:val="DAFDD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semiHidden/>
    <w:qFormat/>
    <w:uiPriority w:val="0"/>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semiHidden/>
    <w:qFormat/>
    <w:uiPriority w:val="0"/>
    <w:pPr>
      <w:snapToGrid w:val="0"/>
      <w:jc w:val="left"/>
    </w:pPr>
    <w:rPr>
      <w:sz w:val="18"/>
      <w:szCs w:val="18"/>
    </w:rPr>
  </w:style>
  <w:style w:type="character" w:styleId="8">
    <w:name w:val="footnote reference"/>
    <w:semiHidden/>
    <w:qFormat/>
    <w:uiPriority w:val="0"/>
    <w:rPr>
      <w:vertAlign w:val="superscript"/>
    </w:rPr>
  </w:style>
  <w:style w:type="character" w:customStyle="1" w:styleId="10">
    <w:name w:val="t_tag"/>
    <w:basedOn w:val="7"/>
    <w:qFormat/>
    <w:uiPriority w:val="0"/>
  </w:style>
  <w:style w:type="character" w:customStyle="1" w:styleId="11">
    <w:name w:val="页眉 字符"/>
    <w:link w:val="5"/>
    <w:qFormat/>
    <w:uiPriority w:val="99"/>
    <w:rPr>
      <w:kern w:val="2"/>
      <w:sz w:val="18"/>
      <w:szCs w:val="18"/>
    </w:rPr>
  </w:style>
  <w:style w:type="character" w:customStyle="1" w:styleId="12">
    <w:name w:val="页脚 字符"/>
    <w:link w:val="4"/>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Company>
  <Pages>2</Pages>
  <Words>34</Words>
  <Characters>196</Characters>
  <Lines>1</Lines>
  <Paragraphs>1</Paragraphs>
  <TotalTime>0</TotalTime>
  <ScaleCrop>false</ScaleCrop>
  <LinksUpToDate>false</LinksUpToDate>
  <CharactersWithSpaces>229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2020-12-18T15:57:00Z</dcterms:created>
  <dc:creator>tzk</dc:creator>
  <cp:lastModifiedBy>Administrator</cp:lastModifiedBy>
  <cp:lastPrinted>2008-02-26T10:14:00Z</cp:lastPrinted>
  <dcterms:modified xsi:type="dcterms:W3CDTF">2022-09-19T00:45:24Z</dcterms:modified>
  <dc:title>第       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