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5D" w:rsidRDefault="0095445D" w:rsidP="0095445D">
      <w:pPr>
        <w:wordWrap w:val="0"/>
        <w:spacing w:line="100" w:lineRule="exact"/>
        <w:jc w:val="right"/>
        <w:rPr>
          <w:rFonts w:ascii="楷体_GB2312" w:eastAsia="楷体_GB2312"/>
          <w:sz w:val="37"/>
          <w:szCs w:val="37"/>
        </w:rPr>
      </w:pPr>
      <w:r>
        <w:rPr>
          <w:rFonts w:ascii="楷体_GB2312" w:eastAsia="楷体_GB2312" w:hint="eastAsia"/>
          <w:sz w:val="37"/>
          <w:szCs w:val="37"/>
        </w:rPr>
        <w:t xml:space="preserve">     </w:t>
      </w:r>
      <w:r>
        <w:t xml:space="preserve"> </w:t>
      </w:r>
    </w:p>
    <w:p w:rsidR="0095445D" w:rsidRDefault="0095445D" w:rsidP="0095445D">
      <w:pPr>
        <w:wordWrap w:val="0"/>
        <w:jc w:val="right"/>
        <w:rPr>
          <w:rFonts w:ascii="楷体_GB2312" w:eastAsia="楷体_GB2312" w:hint="eastAsia"/>
          <w:sz w:val="37"/>
          <w:szCs w:val="37"/>
        </w:rPr>
      </w:pPr>
      <w:r>
        <w:rPr>
          <w:rFonts w:ascii="楷体_GB2312" w:eastAsia="楷体_GB2312" w:hint="eastAsia"/>
          <w:sz w:val="37"/>
          <w:szCs w:val="37"/>
        </w:rPr>
        <w:t>第</w:t>
      </w:r>
      <w:r>
        <w:rPr>
          <w:rFonts w:ascii="楷体_GB2312" w:eastAsia="楷体_GB2312" w:hint="eastAsia"/>
          <w:sz w:val="37"/>
          <w:szCs w:val="37"/>
          <w:u w:val="single"/>
        </w:rPr>
        <w:t xml:space="preserve">  197  </w:t>
      </w:r>
      <w:r>
        <w:rPr>
          <w:rFonts w:ascii="楷体_GB2312" w:eastAsia="楷体_GB2312" w:hint="eastAsia"/>
          <w:sz w:val="37"/>
          <w:szCs w:val="37"/>
        </w:rPr>
        <w:t>号</w:t>
      </w:r>
      <w:r>
        <w:t xml:space="preserve"> </w:t>
      </w:r>
    </w:p>
    <w:p w:rsidR="0095445D" w:rsidRDefault="0095445D" w:rsidP="0095445D">
      <w:pPr>
        <w:wordWrap w:val="0"/>
        <w:jc w:val="right"/>
        <w:rPr>
          <w:rFonts w:ascii="楷体_GB2312" w:eastAsia="楷体_GB2312" w:hint="eastAsia"/>
          <w:sz w:val="40"/>
          <w:szCs w:val="40"/>
        </w:rPr>
      </w:pPr>
      <w:r>
        <w:rPr>
          <w:rFonts w:ascii="楷体_GB2312" w:eastAsia="楷体_GB2312" w:hint="eastAsia"/>
          <w:sz w:val="37"/>
          <w:szCs w:val="37"/>
        </w:rPr>
        <w:t xml:space="preserve">     第</w:t>
      </w:r>
      <w:r>
        <w:rPr>
          <w:rFonts w:ascii="楷体_GB2312" w:eastAsia="楷体_GB2312" w:hint="eastAsia"/>
          <w:sz w:val="37"/>
          <w:szCs w:val="37"/>
          <w:u w:val="single"/>
        </w:rPr>
        <w:t xml:space="preserve">  </w:t>
      </w:r>
      <w:r>
        <w:rPr>
          <w:rFonts w:ascii="楷体_GB2312" w:eastAsia="楷体_GB2312" w:hint="eastAsia"/>
          <w:sz w:val="37"/>
          <w:szCs w:val="37"/>
        </w:rPr>
        <w:t>类</w:t>
      </w:r>
      <w:r>
        <w:t xml:space="preserve"> </w:t>
      </w:r>
    </w:p>
    <w:p w:rsidR="0095445D" w:rsidRDefault="0095445D" w:rsidP="0095445D">
      <w:pPr>
        <w:spacing w:line="880" w:lineRule="exact"/>
        <w:jc w:val="center"/>
        <w:rPr>
          <w:rFonts w:ascii="宋体" w:hAnsi="宋体" w:hint="eastAsia"/>
          <w:sz w:val="52"/>
          <w:szCs w:val="52"/>
        </w:rPr>
      </w:pPr>
      <w:r>
        <w:rPr>
          <w:rFonts w:ascii="宋体" w:hAnsi="宋体" w:hint="eastAsia"/>
          <w:sz w:val="52"/>
          <w:szCs w:val="52"/>
        </w:rPr>
        <w:t>中国人民政治协商会议绍兴市委员会</w:t>
      </w:r>
      <w:r>
        <w:t xml:space="preserve"> </w:t>
      </w:r>
    </w:p>
    <w:p w:rsidR="0095445D" w:rsidRDefault="0095445D" w:rsidP="0095445D">
      <w:pPr>
        <w:spacing w:line="900" w:lineRule="exact"/>
        <w:jc w:val="center"/>
        <w:rPr>
          <w:rFonts w:ascii="宋体" w:hAnsi="宋体" w:hint="eastAsia"/>
          <w:sz w:val="84"/>
          <w:szCs w:val="84"/>
        </w:rPr>
      </w:pPr>
      <w:r>
        <w:rPr>
          <w:rFonts w:ascii="宋体" w:hAnsi="宋体" w:hint="eastAsia"/>
          <w:sz w:val="84"/>
          <w:szCs w:val="84"/>
        </w:rPr>
        <w:t>提     案</w:t>
      </w:r>
      <w:r>
        <w:t xml:space="preserve"> </w:t>
      </w:r>
    </w:p>
    <w:p w:rsidR="0095445D" w:rsidRDefault="0095445D" w:rsidP="0095445D">
      <w:pPr>
        <w:spacing w:line="100" w:lineRule="exact"/>
        <w:jc w:val="center"/>
        <w:rPr>
          <w:rFonts w:ascii="方正小标宋简体" w:eastAsia="方正小标宋简体" w:hint="eastAsia"/>
          <w:sz w:val="80"/>
          <w:szCs w:val="80"/>
        </w:rPr>
      </w:pPr>
      <w:r>
        <w:rPr>
          <w:rFonts w:ascii="方正小标宋简体" w:eastAsia="方正小标宋简体" w:hint="eastAsia"/>
          <w:sz w:val="80"/>
          <w:szCs w:val="80"/>
        </w:rPr>
        <w:t xml:space="preserve"> </w:t>
      </w:r>
      <w:r>
        <w:t xml:space="preserve"> </w:t>
      </w:r>
    </w:p>
    <w:p w:rsidR="0095445D" w:rsidRDefault="0095445D" w:rsidP="0095445D">
      <w:pPr>
        <w:spacing w:line="240" w:lineRule="exact"/>
        <w:jc w:val="center"/>
        <w:rPr>
          <w:rFonts w:ascii="方正小标宋简体" w:eastAsia="方正小标宋简体" w:hint="eastAsia"/>
          <w:sz w:val="80"/>
          <w:szCs w:val="80"/>
        </w:rPr>
      </w:pPr>
      <w:r>
        <w:rPr>
          <w:rFonts w:ascii="方正小标宋简体" w:eastAsia="方正小标宋简体" w:hint="eastAsia"/>
          <w:sz w:val="80"/>
          <w:szCs w:val="80"/>
        </w:rPr>
        <w:t xml:space="preserve"> </w:t>
      </w:r>
      <w:r>
        <w:t xml:space="preserve"> </w:t>
      </w:r>
    </w:p>
    <w:p w:rsidR="0095445D" w:rsidRDefault="0095445D" w:rsidP="0095445D">
      <w:pPr>
        <w:rPr>
          <w:rFonts w:ascii="楷体_GB2312" w:eastAsia="楷体_GB2312" w:hint="eastAsia"/>
          <w:sz w:val="32"/>
          <w:szCs w:val="32"/>
        </w:rPr>
      </w:pPr>
      <w:r>
        <w:rPr>
          <w:rFonts w:ascii="楷体_GB2312" w:eastAsia="楷体_GB2312" w:hint="eastAsia"/>
          <w:sz w:val="37"/>
          <w:szCs w:val="37"/>
        </w:rPr>
        <w:t>案由</w:t>
      </w:r>
      <w:r>
        <w:rPr>
          <w:rFonts w:ascii="黑体" w:eastAsia="黑体" w:hAnsi="黑体" w:hint="eastAsia"/>
          <w:sz w:val="37"/>
          <w:szCs w:val="37"/>
        </w:rPr>
        <w:t>：</w:t>
      </w:r>
      <w:r>
        <w:rPr>
          <w:rFonts w:ascii="楷体_GB2312" w:eastAsia="楷体_GB2312" w:hint="eastAsia"/>
          <w:sz w:val="32"/>
          <w:szCs w:val="32"/>
        </w:rPr>
        <w:t xml:space="preserve"> 深化普法宣传教育，提升社会自治能力</w:t>
      </w:r>
      <w:r>
        <w:t xml:space="preserve"> </w:t>
      </w:r>
    </w:p>
    <w:p w:rsidR="0095445D" w:rsidRDefault="0095445D" w:rsidP="0095445D">
      <w:pPr>
        <w:spacing w:line="100" w:lineRule="exact"/>
        <w:rPr>
          <w:rFonts w:ascii="楷体_GB2312" w:eastAsia="楷体_GB2312" w:hint="eastAsia"/>
          <w:sz w:val="36"/>
          <w:szCs w:val="36"/>
        </w:rPr>
      </w:pPr>
      <w:r>
        <w:rPr>
          <w:rFonts w:ascii="楷体_GB2312" w:eastAsia="楷体_GB2312" w:hint="eastAsia"/>
          <w:sz w:val="36"/>
          <w:szCs w:val="36"/>
        </w:rPr>
        <w:t xml:space="preserve"> </w:t>
      </w:r>
      <w:r>
        <w:t xml:space="preserve"> </w:t>
      </w:r>
    </w:p>
    <w:tbl>
      <w:tblPr>
        <w:tblW w:w="0" w:type="auto"/>
        <w:jc w:val="center"/>
        <w:tblLayout w:type="fixed"/>
        <w:tblLook w:val="04A0" w:firstRow="1" w:lastRow="0" w:firstColumn="1" w:lastColumn="0" w:noHBand="0" w:noVBand="1"/>
      </w:tblPr>
      <w:tblGrid>
        <w:gridCol w:w="2523"/>
        <w:gridCol w:w="2316"/>
        <w:gridCol w:w="3794"/>
        <w:gridCol w:w="1222"/>
      </w:tblGrid>
      <w:tr w:rsidR="0095445D" w:rsidTr="006D4A4E">
        <w:trPr>
          <w:trHeight w:val="640"/>
          <w:jc w:val="center"/>
        </w:trPr>
        <w:tc>
          <w:tcPr>
            <w:tcW w:w="2523" w:type="dxa"/>
            <w:tcBorders>
              <w:top w:val="single" w:sz="8" w:space="0" w:color="auto"/>
              <w:left w:val="nil"/>
              <w:bottom w:val="single" w:sz="8" w:space="0" w:color="auto"/>
              <w:right w:val="single" w:sz="8" w:space="0" w:color="auto"/>
            </w:tcBorders>
            <w:vAlign w:val="center"/>
            <w:hideMark/>
          </w:tcPr>
          <w:p w:rsidR="0095445D" w:rsidRDefault="0095445D" w:rsidP="006D4A4E">
            <w:pPr>
              <w:spacing w:line="400" w:lineRule="exact"/>
              <w:jc w:val="center"/>
              <w:rPr>
                <w:rFonts w:ascii="楷体_GB2312" w:eastAsia="楷体_GB2312"/>
                <w:sz w:val="36"/>
                <w:szCs w:val="36"/>
              </w:rPr>
            </w:pPr>
            <w:r>
              <w:rPr>
                <w:rFonts w:ascii="楷体_GB2312" w:eastAsia="楷体_GB2312" w:hint="eastAsia"/>
                <w:sz w:val="36"/>
                <w:szCs w:val="36"/>
              </w:rPr>
              <w:t>提案人</w:t>
            </w:r>
            <w:r>
              <w:t xml:space="preserve"> </w:t>
            </w:r>
          </w:p>
        </w:tc>
        <w:tc>
          <w:tcPr>
            <w:tcW w:w="2316" w:type="dxa"/>
            <w:tcBorders>
              <w:top w:val="single" w:sz="8" w:space="0" w:color="auto"/>
              <w:left w:val="single" w:sz="8" w:space="0" w:color="auto"/>
              <w:bottom w:val="single" w:sz="8" w:space="0" w:color="auto"/>
              <w:right w:val="single" w:sz="8" w:space="0" w:color="auto"/>
            </w:tcBorders>
            <w:vAlign w:val="center"/>
            <w:hideMark/>
          </w:tcPr>
          <w:p w:rsidR="0095445D" w:rsidRDefault="0095445D" w:rsidP="006D4A4E">
            <w:pPr>
              <w:spacing w:line="400" w:lineRule="exact"/>
              <w:jc w:val="center"/>
              <w:rPr>
                <w:rFonts w:ascii="楷体_GB2312" w:eastAsia="楷体_GB2312"/>
                <w:sz w:val="36"/>
                <w:szCs w:val="36"/>
              </w:rPr>
            </w:pPr>
            <w:r>
              <w:rPr>
                <w:rFonts w:ascii="楷体_GB2312" w:eastAsia="楷体_GB2312" w:hint="eastAsia"/>
                <w:sz w:val="36"/>
                <w:szCs w:val="36"/>
              </w:rPr>
              <w:t>联系电话</w:t>
            </w:r>
            <w:r>
              <w:t xml:space="preserve"> </w:t>
            </w:r>
          </w:p>
        </w:tc>
        <w:tc>
          <w:tcPr>
            <w:tcW w:w="3794" w:type="dxa"/>
            <w:tcBorders>
              <w:top w:val="single" w:sz="8" w:space="0" w:color="auto"/>
              <w:left w:val="single" w:sz="8" w:space="0" w:color="auto"/>
              <w:bottom w:val="single" w:sz="8" w:space="0" w:color="auto"/>
              <w:right w:val="single" w:sz="8" w:space="0" w:color="auto"/>
            </w:tcBorders>
            <w:vAlign w:val="center"/>
            <w:hideMark/>
          </w:tcPr>
          <w:p w:rsidR="0095445D" w:rsidRDefault="0095445D" w:rsidP="006D4A4E">
            <w:pPr>
              <w:spacing w:line="560" w:lineRule="exact"/>
              <w:jc w:val="center"/>
              <w:rPr>
                <w:rFonts w:ascii="楷体_GB2312" w:eastAsia="楷体_GB2312"/>
                <w:sz w:val="36"/>
                <w:szCs w:val="36"/>
              </w:rPr>
            </w:pPr>
            <w:r>
              <w:rPr>
                <w:rFonts w:ascii="楷体_GB2312" w:eastAsia="楷体_GB2312" w:hint="eastAsia"/>
                <w:sz w:val="36"/>
                <w:szCs w:val="36"/>
              </w:rPr>
              <w:t>通 讯 地 址</w:t>
            </w:r>
            <w:r>
              <w:t xml:space="preserve"> </w:t>
            </w:r>
          </w:p>
        </w:tc>
        <w:tc>
          <w:tcPr>
            <w:tcW w:w="1222" w:type="dxa"/>
            <w:tcBorders>
              <w:top w:val="single" w:sz="8" w:space="0" w:color="auto"/>
              <w:left w:val="single" w:sz="8" w:space="0" w:color="auto"/>
              <w:bottom w:val="single" w:sz="8" w:space="0" w:color="auto"/>
              <w:right w:val="nil"/>
            </w:tcBorders>
            <w:vAlign w:val="center"/>
            <w:hideMark/>
          </w:tcPr>
          <w:p w:rsidR="0095445D" w:rsidRDefault="0095445D" w:rsidP="006D4A4E">
            <w:pPr>
              <w:spacing w:line="560" w:lineRule="exact"/>
              <w:jc w:val="center"/>
              <w:rPr>
                <w:rFonts w:ascii="楷体_GB2312" w:eastAsia="楷体_GB2312"/>
                <w:sz w:val="36"/>
                <w:szCs w:val="36"/>
              </w:rPr>
            </w:pPr>
            <w:r>
              <w:rPr>
                <w:rFonts w:ascii="楷体_GB2312" w:eastAsia="楷体_GB2312" w:hint="eastAsia"/>
                <w:sz w:val="36"/>
                <w:szCs w:val="36"/>
              </w:rPr>
              <w:t>邮 编</w:t>
            </w:r>
            <w:r>
              <w:t xml:space="preserve"> </w:t>
            </w:r>
          </w:p>
        </w:tc>
      </w:tr>
      <w:tr w:rsidR="0095445D" w:rsidTr="0095445D">
        <w:trPr>
          <w:trHeight w:val="624"/>
          <w:jc w:val="center"/>
        </w:trPr>
        <w:tc>
          <w:tcPr>
            <w:tcW w:w="2523" w:type="dxa"/>
            <w:tcBorders>
              <w:top w:val="single" w:sz="8" w:space="0" w:color="auto"/>
              <w:left w:val="nil"/>
              <w:bottom w:val="single" w:sz="8" w:space="0" w:color="auto"/>
              <w:right w:val="single" w:sz="8" w:space="0" w:color="auto"/>
            </w:tcBorders>
            <w:hideMark/>
          </w:tcPr>
          <w:p w:rsidR="0095445D" w:rsidRDefault="0095445D" w:rsidP="006D4A4E">
            <w:pPr>
              <w:spacing w:line="560" w:lineRule="exact"/>
              <w:ind w:firstLineChars="200" w:firstLine="560"/>
              <w:rPr>
                <w:rFonts w:ascii="宋体" w:hAnsi="宋体"/>
                <w:sz w:val="28"/>
                <w:szCs w:val="28"/>
              </w:rPr>
            </w:pPr>
            <w:r>
              <w:rPr>
                <w:rFonts w:ascii="宋体" w:hAnsi="宋体" w:hint="eastAsia"/>
                <w:sz w:val="28"/>
                <w:szCs w:val="28"/>
              </w:rPr>
              <w:t>刘燕敏</w:t>
            </w:r>
            <w:r>
              <w:t xml:space="preserve"> </w:t>
            </w:r>
          </w:p>
        </w:tc>
        <w:tc>
          <w:tcPr>
            <w:tcW w:w="2316" w:type="dxa"/>
            <w:tcBorders>
              <w:top w:val="single" w:sz="8" w:space="0" w:color="auto"/>
              <w:left w:val="single" w:sz="8" w:space="0" w:color="auto"/>
              <w:bottom w:val="single" w:sz="8" w:space="0" w:color="auto"/>
              <w:right w:val="single" w:sz="8" w:space="0" w:color="auto"/>
            </w:tcBorders>
          </w:tcPr>
          <w:p w:rsidR="0095445D" w:rsidRDefault="0095445D" w:rsidP="006D4A4E">
            <w:pPr>
              <w:spacing w:line="560" w:lineRule="exact"/>
              <w:rPr>
                <w:rFonts w:ascii="宋体" w:hAnsi="宋体"/>
                <w:sz w:val="28"/>
                <w:szCs w:val="28"/>
              </w:rPr>
            </w:pPr>
          </w:p>
        </w:tc>
        <w:tc>
          <w:tcPr>
            <w:tcW w:w="3794" w:type="dxa"/>
            <w:tcBorders>
              <w:top w:val="single" w:sz="8" w:space="0" w:color="auto"/>
              <w:left w:val="single" w:sz="8" w:space="0" w:color="auto"/>
              <w:bottom w:val="single" w:sz="8" w:space="0" w:color="auto"/>
              <w:right w:val="single" w:sz="8" w:space="0" w:color="auto"/>
            </w:tcBorders>
          </w:tcPr>
          <w:p w:rsidR="0095445D" w:rsidRDefault="0095445D" w:rsidP="006D4A4E">
            <w:pPr>
              <w:spacing w:line="560" w:lineRule="exact"/>
              <w:jc w:val="center"/>
              <w:rPr>
                <w:rFonts w:ascii="宋体" w:hAnsi="宋体"/>
                <w:sz w:val="28"/>
                <w:szCs w:val="28"/>
              </w:rPr>
            </w:pPr>
          </w:p>
        </w:tc>
        <w:tc>
          <w:tcPr>
            <w:tcW w:w="1222" w:type="dxa"/>
            <w:tcBorders>
              <w:top w:val="single" w:sz="8" w:space="0" w:color="auto"/>
              <w:left w:val="single" w:sz="8" w:space="0" w:color="auto"/>
              <w:bottom w:val="single" w:sz="8" w:space="0" w:color="auto"/>
              <w:right w:val="nil"/>
            </w:tcBorders>
          </w:tcPr>
          <w:p w:rsidR="0095445D" w:rsidRDefault="0095445D" w:rsidP="006D4A4E">
            <w:pPr>
              <w:spacing w:line="560" w:lineRule="exact"/>
              <w:jc w:val="center"/>
              <w:rPr>
                <w:rFonts w:ascii="仿宋_GB2312" w:eastAsia="仿宋_GB2312"/>
                <w:sz w:val="28"/>
                <w:szCs w:val="28"/>
              </w:rPr>
            </w:pPr>
          </w:p>
        </w:tc>
      </w:tr>
      <w:tr w:rsidR="0095445D" w:rsidTr="006D4A4E">
        <w:trPr>
          <w:trHeight w:val="624"/>
          <w:jc w:val="center"/>
        </w:trPr>
        <w:tc>
          <w:tcPr>
            <w:tcW w:w="9855" w:type="dxa"/>
            <w:gridSpan w:val="4"/>
            <w:tcBorders>
              <w:top w:val="single" w:sz="8" w:space="0" w:color="auto"/>
              <w:left w:val="nil"/>
              <w:bottom w:val="single" w:sz="8" w:space="0" w:color="auto"/>
              <w:right w:val="nil"/>
            </w:tcBorders>
            <w:hideMark/>
          </w:tcPr>
          <w:p w:rsidR="0095445D" w:rsidRDefault="0095445D" w:rsidP="006D4A4E">
            <w:pPr>
              <w:spacing w:line="560" w:lineRule="exact"/>
              <w:ind w:firstLineChars="50" w:firstLine="180"/>
              <w:rPr>
                <w:rFonts w:ascii="方正小标宋简体" w:eastAsia="方正小标宋简体"/>
                <w:sz w:val="40"/>
                <w:szCs w:val="40"/>
              </w:rPr>
            </w:pPr>
            <w:r>
              <w:rPr>
                <w:rFonts w:ascii="楷体_GB2312" w:eastAsia="楷体_GB2312" w:hint="eastAsia"/>
                <w:sz w:val="36"/>
                <w:szCs w:val="36"/>
              </w:rPr>
              <w:t>附议人</w:t>
            </w:r>
            <w:r>
              <w:t xml:space="preserve"> </w:t>
            </w:r>
          </w:p>
        </w:tc>
      </w:tr>
      <w:tr w:rsidR="0095445D" w:rsidTr="006D4A4E">
        <w:trPr>
          <w:trHeight w:val="624"/>
          <w:jc w:val="center"/>
        </w:trPr>
        <w:tc>
          <w:tcPr>
            <w:tcW w:w="2523" w:type="dxa"/>
            <w:tcBorders>
              <w:top w:val="single" w:sz="8" w:space="0" w:color="auto"/>
              <w:left w:val="nil"/>
              <w:bottom w:val="single" w:sz="8" w:space="0" w:color="auto"/>
              <w:right w:val="single" w:sz="8" w:space="0" w:color="auto"/>
            </w:tcBorders>
          </w:tcPr>
          <w:p w:rsidR="0095445D" w:rsidRDefault="0095445D" w:rsidP="006D4A4E">
            <w:pPr>
              <w:spacing w:line="560" w:lineRule="exact"/>
              <w:jc w:val="center"/>
              <w:rPr>
                <w:rFonts w:ascii="方正小标宋简体" w:eastAsia="方正小标宋简体"/>
                <w:sz w:val="40"/>
                <w:szCs w:val="40"/>
              </w:rPr>
            </w:pPr>
          </w:p>
        </w:tc>
        <w:tc>
          <w:tcPr>
            <w:tcW w:w="2316" w:type="dxa"/>
            <w:tcBorders>
              <w:top w:val="single" w:sz="8" w:space="0" w:color="auto"/>
              <w:left w:val="single" w:sz="8" w:space="0" w:color="auto"/>
              <w:bottom w:val="single" w:sz="8" w:space="0" w:color="auto"/>
              <w:right w:val="single" w:sz="8" w:space="0" w:color="auto"/>
            </w:tcBorders>
          </w:tcPr>
          <w:p w:rsidR="0095445D" w:rsidRDefault="0095445D" w:rsidP="006D4A4E">
            <w:pPr>
              <w:spacing w:line="560" w:lineRule="exact"/>
              <w:jc w:val="center"/>
              <w:rPr>
                <w:rFonts w:ascii="仿宋_GB2312" w:eastAsia="仿宋_GB2312"/>
                <w:sz w:val="32"/>
                <w:szCs w:val="32"/>
              </w:rPr>
            </w:pPr>
          </w:p>
        </w:tc>
        <w:tc>
          <w:tcPr>
            <w:tcW w:w="3794" w:type="dxa"/>
            <w:tcBorders>
              <w:top w:val="single" w:sz="8" w:space="0" w:color="auto"/>
              <w:left w:val="single" w:sz="8" w:space="0" w:color="auto"/>
              <w:bottom w:val="single" w:sz="8" w:space="0" w:color="auto"/>
              <w:right w:val="single" w:sz="8" w:space="0" w:color="auto"/>
            </w:tcBorders>
          </w:tcPr>
          <w:p w:rsidR="0095445D" w:rsidRDefault="0095445D" w:rsidP="006D4A4E">
            <w:pPr>
              <w:spacing w:line="560" w:lineRule="exact"/>
              <w:jc w:val="center"/>
              <w:rPr>
                <w:rFonts w:ascii="仿宋_GB2312" w:eastAsia="仿宋_GB2312"/>
                <w:sz w:val="32"/>
                <w:szCs w:val="32"/>
              </w:rPr>
            </w:pPr>
          </w:p>
        </w:tc>
        <w:tc>
          <w:tcPr>
            <w:tcW w:w="1222" w:type="dxa"/>
            <w:tcBorders>
              <w:top w:val="single" w:sz="8" w:space="0" w:color="auto"/>
              <w:left w:val="single" w:sz="8" w:space="0" w:color="auto"/>
              <w:bottom w:val="single" w:sz="8" w:space="0" w:color="auto"/>
              <w:right w:val="nil"/>
            </w:tcBorders>
          </w:tcPr>
          <w:p w:rsidR="0095445D" w:rsidRDefault="0095445D" w:rsidP="006D4A4E">
            <w:pPr>
              <w:spacing w:line="560" w:lineRule="exact"/>
              <w:jc w:val="center"/>
              <w:rPr>
                <w:rFonts w:ascii="仿宋_GB2312" w:eastAsia="仿宋_GB2312"/>
                <w:sz w:val="32"/>
                <w:szCs w:val="32"/>
              </w:rPr>
            </w:pPr>
          </w:p>
        </w:tc>
      </w:tr>
      <w:tr w:rsidR="0095445D" w:rsidTr="006D4A4E">
        <w:trPr>
          <w:trHeight w:val="624"/>
          <w:jc w:val="center"/>
        </w:trPr>
        <w:tc>
          <w:tcPr>
            <w:tcW w:w="2523" w:type="dxa"/>
            <w:tcBorders>
              <w:top w:val="single" w:sz="8" w:space="0" w:color="auto"/>
              <w:left w:val="nil"/>
              <w:bottom w:val="single" w:sz="8" w:space="0" w:color="auto"/>
              <w:right w:val="single" w:sz="8" w:space="0" w:color="auto"/>
            </w:tcBorders>
          </w:tcPr>
          <w:p w:rsidR="0095445D" w:rsidRDefault="0095445D" w:rsidP="006D4A4E">
            <w:pPr>
              <w:spacing w:line="560" w:lineRule="exact"/>
              <w:jc w:val="center"/>
              <w:rPr>
                <w:rFonts w:ascii="方正小标宋简体" w:eastAsia="方正小标宋简体"/>
                <w:sz w:val="40"/>
                <w:szCs w:val="40"/>
              </w:rPr>
            </w:pPr>
          </w:p>
        </w:tc>
        <w:tc>
          <w:tcPr>
            <w:tcW w:w="2316" w:type="dxa"/>
            <w:tcBorders>
              <w:top w:val="single" w:sz="8" w:space="0" w:color="auto"/>
              <w:left w:val="single" w:sz="8" w:space="0" w:color="auto"/>
              <w:bottom w:val="single" w:sz="8" w:space="0" w:color="auto"/>
              <w:right w:val="single" w:sz="8" w:space="0" w:color="auto"/>
            </w:tcBorders>
          </w:tcPr>
          <w:p w:rsidR="0095445D" w:rsidRDefault="0095445D" w:rsidP="006D4A4E">
            <w:pPr>
              <w:spacing w:line="560" w:lineRule="exact"/>
              <w:jc w:val="center"/>
              <w:rPr>
                <w:rFonts w:ascii="仿宋_GB2312" w:eastAsia="仿宋_GB2312"/>
                <w:sz w:val="32"/>
                <w:szCs w:val="32"/>
              </w:rPr>
            </w:pPr>
          </w:p>
        </w:tc>
        <w:tc>
          <w:tcPr>
            <w:tcW w:w="3794" w:type="dxa"/>
            <w:tcBorders>
              <w:top w:val="single" w:sz="8" w:space="0" w:color="auto"/>
              <w:left w:val="single" w:sz="8" w:space="0" w:color="auto"/>
              <w:bottom w:val="single" w:sz="8" w:space="0" w:color="auto"/>
              <w:right w:val="single" w:sz="8" w:space="0" w:color="auto"/>
            </w:tcBorders>
          </w:tcPr>
          <w:p w:rsidR="0095445D" w:rsidRDefault="0095445D" w:rsidP="006D4A4E">
            <w:pPr>
              <w:spacing w:line="560" w:lineRule="exact"/>
              <w:jc w:val="center"/>
              <w:rPr>
                <w:rFonts w:ascii="仿宋_GB2312" w:eastAsia="仿宋_GB2312"/>
                <w:sz w:val="32"/>
                <w:szCs w:val="32"/>
              </w:rPr>
            </w:pPr>
          </w:p>
        </w:tc>
        <w:tc>
          <w:tcPr>
            <w:tcW w:w="1222" w:type="dxa"/>
            <w:tcBorders>
              <w:top w:val="single" w:sz="8" w:space="0" w:color="auto"/>
              <w:left w:val="single" w:sz="8" w:space="0" w:color="auto"/>
              <w:bottom w:val="single" w:sz="8" w:space="0" w:color="auto"/>
              <w:right w:val="nil"/>
            </w:tcBorders>
          </w:tcPr>
          <w:p w:rsidR="0095445D" w:rsidRDefault="0095445D" w:rsidP="006D4A4E">
            <w:pPr>
              <w:spacing w:line="560" w:lineRule="exact"/>
              <w:jc w:val="center"/>
              <w:rPr>
                <w:rFonts w:ascii="仿宋_GB2312" w:eastAsia="仿宋_GB2312"/>
                <w:sz w:val="32"/>
                <w:szCs w:val="32"/>
              </w:rPr>
            </w:pPr>
          </w:p>
        </w:tc>
      </w:tr>
      <w:tr w:rsidR="0095445D" w:rsidTr="006D4A4E">
        <w:trPr>
          <w:trHeight w:val="624"/>
          <w:jc w:val="center"/>
        </w:trPr>
        <w:tc>
          <w:tcPr>
            <w:tcW w:w="2523" w:type="dxa"/>
            <w:tcBorders>
              <w:top w:val="single" w:sz="8" w:space="0" w:color="auto"/>
              <w:left w:val="nil"/>
              <w:bottom w:val="single" w:sz="8" w:space="0" w:color="auto"/>
              <w:right w:val="single" w:sz="8" w:space="0" w:color="auto"/>
            </w:tcBorders>
          </w:tcPr>
          <w:p w:rsidR="0095445D" w:rsidRDefault="0095445D" w:rsidP="006D4A4E">
            <w:pPr>
              <w:spacing w:line="560" w:lineRule="exact"/>
              <w:jc w:val="center"/>
              <w:rPr>
                <w:rFonts w:ascii="方正小标宋简体" w:eastAsia="方正小标宋简体"/>
                <w:sz w:val="40"/>
                <w:szCs w:val="40"/>
              </w:rPr>
            </w:pPr>
          </w:p>
        </w:tc>
        <w:tc>
          <w:tcPr>
            <w:tcW w:w="2316" w:type="dxa"/>
            <w:tcBorders>
              <w:top w:val="single" w:sz="8" w:space="0" w:color="auto"/>
              <w:left w:val="single" w:sz="8" w:space="0" w:color="auto"/>
              <w:bottom w:val="single" w:sz="8" w:space="0" w:color="auto"/>
              <w:right w:val="single" w:sz="8" w:space="0" w:color="auto"/>
            </w:tcBorders>
          </w:tcPr>
          <w:p w:rsidR="0095445D" w:rsidRDefault="0095445D" w:rsidP="006D4A4E">
            <w:pPr>
              <w:spacing w:line="560" w:lineRule="exact"/>
              <w:jc w:val="center"/>
              <w:rPr>
                <w:rFonts w:ascii="仿宋_GB2312" w:eastAsia="仿宋_GB2312"/>
                <w:sz w:val="32"/>
                <w:szCs w:val="32"/>
              </w:rPr>
            </w:pPr>
          </w:p>
        </w:tc>
        <w:tc>
          <w:tcPr>
            <w:tcW w:w="3794" w:type="dxa"/>
            <w:tcBorders>
              <w:top w:val="single" w:sz="8" w:space="0" w:color="auto"/>
              <w:left w:val="single" w:sz="8" w:space="0" w:color="auto"/>
              <w:bottom w:val="single" w:sz="8" w:space="0" w:color="auto"/>
              <w:right w:val="single" w:sz="8" w:space="0" w:color="auto"/>
            </w:tcBorders>
          </w:tcPr>
          <w:p w:rsidR="0095445D" w:rsidRDefault="0095445D" w:rsidP="006D4A4E">
            <w:pPr>
              <w:spacing w:line="560" w:lineRule="exact"/>
              <w:jc w:val="center"/>
              <w:rPr>
                <w:rFonts w:ascii="仿宋_GB2312" w:eastAsia="仿宋_GB2312"/>
                <w:sz w:val="32"/>
                <w:szCs w:val="32"/>
              </w:rPr>
            </w:pPr>
          </w:p>
        </w:tc>
        <w:tc>
          <w:tcPr>
            <w:tcW w:w="1222" w:type="dxa"/>
            <w:tcBorders>
              <w:top w:val="single" w:sz="8" w:space="0" w:color="auto"/>
              <w:left w:val="single" w:sz="8" w:space="0" w:color="auto"/>
              <w:bottom w:val="single" w:sz="8" w:space="0" w:color="auto"/>
              <w:right w:val="nil"/>
            </w:tcBorders>
          </w:tcPr>
          <w:p w:rsidR="0095445D" w:rsidRDefault="0095445D" w:rsidP="006D4A4E">
            <w:pPr>
              <w:spacing w:line="560" w:lineRule="exact"/>
              <w:jc w:val="center"/>
              <w:rPr>
                <w:rFonts w:ascii="仿宋_GB2312" w:eastAsia="仿宋_GB2312"/>
                <w:sz w:val="32"/>
                <w:szCs w:val="32"/>
              </w:rPr>
            </w:pPr>
          </w:p>
        </w:tc>
      </w:tr>
      <w:tr w:rsidR="0095445D" w:rsidTr="006D4A4E">
        <w:trPr>
          <w:trHeight w:val="624"/>
          <w:jc w:val="center"/>
        </w:trPr>
        <w:tc>
          <w:tcPr>
            <w:tcW w:w="2523" w:type="dxa"/>
            <w:tcBorders>
              <w:top w:val="single" w:sz="8" w:space="0" w:color="auto"/>
              <w:left w:val="nil"/>
              <w:bottom w:val="single" w:sz="8" w:space="0" w:color="auto"/>
              <w:right w:val="single" w:sz="8" w:space="0" w:color="auto"/>
            </w:tcBorders>
          </w:tcPr>
          <w:p w:rsidR="0095445D" w:rsidRDefault="0095445D" w:rsidP="006D4A4E">
            <w:pPr>
              <w:spacing w:line="560" w:lineRule="exact"/>
              <w:jc w:val="center"/>
              <w:rPr>
                <w:rFonts w:ascii="方正小标宋简体" w:eastAsia="方正小标宋简体"/>
                <w:sz w:val="40"/>
                <w:szCs w:val="40"/>
              </w:rPr>
            </w:pPr>
          </w:p>
        </w:tc>
        <w:tc>
          <w:tcPr>
            <w:tcW w:w="2316" w:type="dxa"/>
            <w:tcBorders>
              <w:top w:val="single" w:sz="8" w:space="0" w:color="auto"/>
              <w:left w:val="single" w:sz="8" w:space="0" w:color="auto"/>
              <w:bottom w:val="single" w:sz="8" w:space="0" w:color="auto"/>
              <w:right w:val="single" w:sz="8" w:space="0" w:color="auto"/>
            </w:tcBorders>
          </w:tcPr>
          <w:p w:rsidR="0095445D" w:rsidRDefault="0095445D" w:rsidP="006D4A4E">
            <w:pPr>
              <w:spacing w:line="560" w:lineRule="exact"/>
              <w:jc w:val="center"/>
              <w:rPr>
                <w:rFonts w:ascii="仿宋_GB2312" w:eastAsia="仿宋_GB2312"/>
                <w:sz w:val="32"/>
                <w:szCs w:val="32"/>
              </w:rPr>
            </w:pPr>
          </w:p>
        </w:tc>
        <w:tc>
          <w:tcPr>
            <w:tcW w:w="3794" w:type="dxa"/>
            <w:tcBorders>
              <w:top w:val="single" w:sz="8" w:space="0" w:color="auto"/>
              <w:left w:val="single" w:sz="8" w:space="0" w:color="auto"/>
              <w:bottom w:val="single" w:sz="8" w:space="0" w:color="auto"/>
              <w:right w:val="single" w:sz="8" w:space="0" w:color="auto"/>
            </w:tcBorders>
          </w:tcPr>
          <w:p w:rsidR="0095445D" w:rsidRDefault="0095445D" w:rsidP="006D4A4E">
            <w:pPr>
              <w:spacing w:line="560" w:lineRule="exact"/>
              <w:jc w:val="center"/>
              <w:rPr>
                <w:rFonts w:ascii="仿宋_GB2312" w:eastAsia="仿宋_GB2312"/>
                <w:sz w:val="32"/>
                <w:szCs w:val="32"/>
              </w:rPr>
            </w:pPr>
          </w:p>
        </w:tc>
        <w:tc>
          <w:tcPr>
            <w:tcW w:w="1222" w:type="dxa"/>
            <w:tcBorders>
              <w:top w:val="single" w:sz="8" w:space="0" w:color="auto"/>
              <w:left w:val="single" w:sz="8" w:space="0" w:color="auto"/>
              <w:bottom w:val="single" w:sz="8" w:space="0" w:color="auto"/>
              <w:right w:val="nil"/>
            </w:tcBorders>
          </w:tcPr>
          <w:p w:rsidR="0095445D" w:rsidRDefault="0095445D" w:rsidP="006D4A4E">
            <w:pPr>
              <w:spacing w:line="560" w:lineRule="exact"/>
              <w:jc w:val="center"/>
              <w:rPr>
                <w:rFonts w:ascii="仿宋_GB2312" w:eastAsia="仿宋_GB2312"/>
                <w:sz w:val="32"/>
                <w:szCs w:val="32"/>
              </w:rPr>
            </w:pPr>
          </w:p>
        </w:tc>
      </w:tr>
      <w:tr w:rsidR="0095445D" w:rsidTr="006D4A4E">
        <w:trPr>
          <w:trHeight w:val="624"/>
          <w:jc w:val="center"/>
        </w:trPr>
        <w:tc>
          <w:tcPr>
            <w:tcW w:w="2523" w:type="dxa"/>
            <w:tcBorders>
              <w:top w:val="single" w:sz="8" w:space="0" w:color="auto"/>
              <w:left w:val="nil"/>
              <w:bottom w:val="single" w:sz="8" w:space="0" w:color="auto"/>
              <w:right w:val="single" w:sz="8" w:space="0" w:color="auto"/>
            </w:tcBorders>
          </w:tcPr>
          <w:p w:rsidR="0095445D" w:rsidRDefault="0095445D" w:rsidP="006D4A4E">
            <w:pPr>
              <w:spacing w:line="560" w:lineRule="exact"/>
              <w:jc w:val="center"/>
              <w:rPr>
                <w:rFonts w:ascii="方正小标宋简体" w:eastAsia="方正小标宋简体"/>
                <w:sz w:val="40"/>
                <w:szCs w:val="40"/>
              </w:rPr>
            </w:pPr>
          </w:p>
        </w:tc>
        <w:tc>
          <w:tcPr>
            <w:tcW w:w="2316" w:type="dxa"/>
            <w:tcBorders>
              <w:top w:val="single" w:sz="8" w:space="0" w:color="auto"/>
              <w:left w:val="single" w:sz="8" w:space="0" w:color="auto"/>
              <w:bottom w:val="single" w:sz="8" w:space="0" w:color="auto"/>
              <w:right w:val="single" w:sz="8" w:space="0" w:color="auto"/>
            </w:tcBorders>
          </w:tcPr>
          <w:p w:rsidR="0095445D" w:rsidRDefault="0095445D" w:rsidP="006D4A4E">
            <w:pPr>
              <w:spacing w:line="560" w:lineRule="exact"/>
              <w:jc w:val="center"/>
              <w:rPr>
                <w:rFonts w:ascii="仿宋_GB2312" w:eastAsia="仿宋_GB2312"/>
                <w:sz w:val="32"/>
                <w:szCs w:val="32"/>
              </w:rPr>
            </w:pPr>
          </w:p>
        </w:tc>
        <w:tc>
          <w:tcPr>
            <w:tcW w:w="3794" w:type="dxa"/>
            <w:tcBorders>
              <w:top w:val="single" w:sz="8" w:space="0" w:color="auto"/>
              <w:left w:val="single" w:sz="8" w:space="0" w:color="auto"/>
              <w:bottom w:val="single" w:sz="8" w:space="0" w:color="auto"/>
              <w:right w:val="single" w:sz="8" w:space="0" w:color="auto"/>
            </w:tcBorders>
          </w:tcPr>
          <w:p w:rsidR="0095445D" w:rsidRDefault="0095445D" w:rsidP="006D4A4E">
            <w:pPr>
              <w:spacing w:line="560" w:lineRule="exact"/>
              <w:jc w:val="center"/>
              <w:rPr>
                <w:rFonts w:ascii="仿宋_GB2312" w:eastAsia="仿宋_GB2312"/>
                <w:sz w:val="32"/>
                <w:szCs w:val="32"/>
              </w:rPr>
            </w:pPr>
          </w:p>
        </w:tc>
        <w:tc>
          <w:tcPr>
            <w:tcW w:w="1222" w:type="dxa"/>
            <w:tcBorders>
              <w:top w:val="single" w:sz="8" w:space="0" w:color="auto"/>
              <w:left w:val="single" w:sz="8" w:space="0" w:color="auto"/>
              <w:bottom w:val="single" w:sz="8" w:space="0" w:color="auto"/>
              <w:right w:val="nil"/>
            </w:tcBorders>
          </w:tcPr>
          <w:p w:rsidR="0095445D" w:rsidRDefault="0095445D" w:rsidP="006D4A4E">
            <w:pPr>
              <w:spacing w:line="560" w:lineRule="exact"/>
              <w:jc w:val="center"/>
              <w:rPr>
                <w:rFonts w:ascii="仿宋_GB2312" w:eastAsia="仿宋_GB2312"/>
                <w:sz w:val="32"/>
                <w:szCs w:val="32"/>
              </w:rPr>
            </w:pPr>
          </w:p>
        </w:tc>
      </w:tr>
      <w:tr w:rsidR="0095445D" w:rsidTr="006D4A4E">
        <w:trPr>
          <w:trHeight w:val="624"/>
          <w:jc w:val="center"/>
        </w:trPr>
        <w:tc>
          <w:tcPr>
            <w:tcW w:w="2523" w:type="dxa"/>
            <w:tcBorders>
              <w:top w:val="single" w:sz="8" w:space="0" w:color="auto"/>
              <w:left w:val="nil"/>
              <w:bottom w:val="single" w:sz="8" w:space="0" w:color="auto"/>
              <w:right w:val="single" w:sz="8" w:space="0" w:color="auto"/>
            </w:tcBorders>
            <w:vAlign w:val="center"/>
            <w:hideMark/>
          </w:tcPr>
          <w:p w:rsidR="0095445D" w:rsidRDefault="0095445D" w:rsidP="006D4A4E">
            <w:pPr>
              <w:spacing w:line="400" w:lineRule="exact"/>
              <w:jc w:val="center"/>
              <w:rPr>
                <w:rFonts w:ascii="楷体_GB2312" w:eastAsia="楷体_GB2312"/>
                <w:sz w:val="36"/>
                <w:szCs w:val="36"/>
              </w:rPr>
            </w:pPr>
            <w:r>
              <w:rPr>
                <w:rFonts w:ascii="楷体_GB2312" w:eastAsia="楷体_GB2312" w:hint="eastAsia"/>
                <w:sz w:val="36"/>
                <w:szCs w:val="36"/>
              </w:rPr>
              <w:t>集体提案单位</w:t>
            </w:r>
            <w:r>
              <w:t xml:space="preserve"> </w:t>
            </w:r>
          </w:p>
          <w:p w:rsidR="0095445D" w:rsidRDefault="0095445D" w:rsidP="006D4A4E">
            <w:pPr>
              <w:spacing w:line="400" w:lineRule="exact"/>
              <w:jc w:val="center"/>
              <w:rPr>
                <w:rFonts w:ascii="楷体_GB2312" w:eastAsia="楷体_GB2312"/>
                <w:sz w:val="36"/>
                <w:szCs w:val="36"/>
              </w:rPr>
            </w:pPr>
            <w:r>
              <w:rPr>
                <w:rFonts w:ascii="楷体_GB2312" w:eastAsia="楷体_GB2312" w:hint="eastAsia"/>
                <w:sz w:val="36"/>
                <w:szCs w:val="36"/>
              </w:rPr>
              <w:t>负责人签名处</w:t>
            </w:r>
            <w:r>
              <w:t xml:space="preserve"> </w:t>
            </w:r>
          </w:p>
        </w:tc>
        <w:tc>
          <w:tcPr>
            <w:tcW w:w="7332" w:type="dxa"/>
            <w:gridSpan w:val="3"/>
            <w:tcBorders>
              <w:top w:val="single" w:sz="8" w:space="0" w:color="auto"/>
              <w:left w:val="single" w:sz="8" w:space="0" w:color="auto"/>
              <w:bottom w:val="single" w:sz="8" w:space="0" w:color="auto"/>
              <w:right w:val="nil"/>
            </w:tcBorders>
          </w:tcPr>
          <w:p w:rsidR="0095445D" w:rsidRDefault="0095445D" w:rsidP="006D4A4E">
            <w:pPr>
              <w:spacing w:line="560" w:lineRule="exact"/>
              <w:jc w:val="center"/>
              <w:rPr>
                <w:rFonts w:ascii="方正小标宋简体" w:eastAsia="方正小标宋简体"/>
                <w:sz w:val="40"/>
                <w:szCs w:val="40"/>
              </w:rPr>
            </w:pPr>
          </w:p>
        </w:tc>
      </w:tr>
      <w:tr w:rsidR="0095445D" w:rsidTr="006D4A4E">
        <w:trPr>
          <w:trHeight w:val="187"/>
          <w:jc w:val="center"/>
        </w:trPr>
        <w:tc>
          <w:tcPr>
            <w:tcW w:w="9855" w:type="dxa"/>
            <w:gridSpan w:val="4"/>
            <w:tcBorders>
              <w:top w:val="single" w:sz="8" w:space="0" w:color="auto"/>
              <w:left w:val="nil"/>
              <w:bottom w:val="single" w:sz="8" w:space="0" w:color="auto"/>
              <w:right w:val="nil"/>
            </w:tcBorders>
          </w:tcPr>
          <w:p w:rsidR="0095445D" w:rsidRDefault="0095445D" w:rsidP="006D4A4E">
            <w:pPr>
              <w:spacing w:line="40" w:lineRule="exact"/>
              <w:jc w:val="center"/>
              <w:rPr>
                <w:rFonts w:ascii="方正小标宋简体" w:eastAsia="方正小标宋简体"/>
                <w:sz w:val="11"/>
                <w:szCs w:val="11"/>
                <w:u w:val="single"/>
              </w:rPr>
            </w:pPr>
          </w:p>
        </w:tc>
      </w:tr>
      <w:tr w:rsidR="0095445D" w:rsidTr="006D4A4E">
        <w:trPr>
          <w:cantSplit/>
          <w:trHeight w:val="907"/>
          <w:jc w:val="center"/>
        </w:trPr>
        <w:tc>
          <w:tcPr>
            <w:tcW w:w="2523" w:type="dxa"/>
            <w:vMerge w:val="restart"/>
            <w:tcBorders>
              <w:top w:val="nil"/>
              <w:left w:val="nil"/>
              <w:bottom w:val="single" w:sz="8" w:space="0" w:color="auto"/>
              <w:right w:val="single" w:sz="8" w:space="0" w:color="auto"/>
            </w:tcBorders>
            <w:vAlign w:val="center"/>
            <w:hideMark/>
          </w:tcPr>
          <w:p w:rsidR="0095445D" w:rsidRDefault="0095445D" w:rsidP="006D4A4E">
            <w:pPr>
              <w:spacing w:line="600" w:lineRule="exact"/>
              <w:jc w:val="center"/>
              <w:rPr>
                <w:rFonts w:ascii="楷体_GB2312" w:eastAsia="楷体_GB2312"/>
                <w:sz w:val="36"/>
                <w:szCs w:val="36"/>
              </w:rPr>
            </w:pPr>
            <w:r>
              <w:rPr>
                <w:rFonts w:ascii="楷体_GB2312" w:eastAsia="楷体_GB2312" w:hint="eastAsia"/>
                <w:sz w:val="36"/>
                <w:szCs w:val="36"/>
              </w:rPr>
              <w:t>提案审查</w:t>
            </w:r>
            <w:r>
              <w:t xml:space="preserve"> </w:t>
            </w:r>
          </w:p>
          <w:p w:rsidR="0095445D" w:rsidRDefault="0095445D" w:rsidP="006D4A4E">
            <w:pPr>
              <w:spacing w:line="600" w:lineRule="exact"/>
              <w:jc w:val="center"/>
              <w:rPr>
                <w:rFonts w:ascii="楷体_GB2312" w:eastAsia="楷体_GB2312"/>
                <w:sz w:val="36"/>
                <w:szCs w:val="36"/>
              </w:rPr>
            </w:pPr>
            <w:r>
              <w:rPr>
                <w:rFonts w:ascii="楷体_GB2312" w:eastAsia="楷体_GB2312" w:hint="eastAsia"/>
                <w:sz w:val="36"/>
                <w:szCs w:val="36"/>
              </w:rPr>
              <w:t>机构意见</w:t>
            </w:r>
            <w:r>
              <w:t xml:space="preserve"> </w:t>
            </w:r>
          </w:p>
        </w:tc>
        <w:tc>
          <w:tcPr>
            <w:tcW w:w="2316" w:type="dxa"/>
            <w:vMerge w:val="restart"/>
            <w:tcBorders>
              <w:top w:val="single" w:sz="8" w:space="0" w:color="auto"/>
              <w:left w:val="single" w:sz="8" w:space="0" w:color="auto"/>
              <w:bottom w:val="single" w:sz="8" w:space="0" w:color="auto"/>
              <w:right w:val="single" w:sz="8" w:space="0" w:color="auto"/>
            </w:tcBorders>
          </w:tcPr>
          <w:p w:rsidR="0095445D" w:rsidRDefault="0095445D" w:rsidP="006D4A4E">
            <w:pPr>
              <w:spacing w:line="600" w:lineRule="exact"/>
              <w:jc w:val="center"/>
              <w:rPr>
                <w:rFonts w:ascii="楷体_GB2312" w:eastAsia="楷体_GB2312"/>
                <w:sz w:val="36"/>
                <w:szCs w:val="36"/>
              </w:rPr>
            </w:pPr>
          </w:p>
        </w:tc>
        <w:tc>
          <w:tcPr>
            <w:tcW w:w="5016" w:type="dxa"/>
            <w:gridSpan w:val="2"/>
            <w:tcBorders>
              <w:top w:val="single" w:sz="8" w:space="0" w:color="auto"/>
              <w:left w:val="single" w:sz="8" w:space="0" w:color="auto"/>
              <w:bottom w:val="single" w:sz="8" w:space="0" w:color="auto"/>
              <w:right w:val="nil"/>
            </w:tcBorders>
            <w:vAlign w:val="center"/>
            <w:hideMark/>
          </w:tcPr>
          <w:p w:rsidR="0095445D" w:rsidRDefault="0095445D" w:rsidP="0095445D">
            <w:pPr>
              <w:spacing w:line="600" w:lineRule="exact"/>
              <w:rPr>
                <w:rFonts w:ascii="楷体_GB2312" w:eastAsia="楷体_GB2312"/>
                <w:sz w:val="36"/>
                <w:szCs w:val="36"/>
              </w:rPr>
            </w:pPr>
            <w:r>
              <w:rPr>
                <w:rFonts w:ascii="楷体_GB2312" w:eastAsia="楷体_GB2312" w:hint="eastAsia"/>
                <w:sz w:val="36"/>
                <w:szCs w:val="36"/>
              </w:rPr>
              <w:t>主办：</w:t>
            </w:r>
            <w:r>
              <w:t xml:space="preserve"> </w:t>
            </w:r>
          </w:p>
        </w:tc>
      </w:tr>
      <w:tr w:rsidR="0095445D" w:rsidTr="006D4A4E">
        <w:trPr>
          <w:cantSplit/>
          <w:trHeight w:val="907"/>
          <w:jc w:val="center"/>
        </w:trPr>
        <w:tc>
          <w:tcPr>
            <w:tcW w:w="9855" w:type="dxa"/>
            <w:vMerge/>
            <w:tcBorders>
              <w:top w:val="nil"/>
              <w:left w:val="nil"/>
              <w:bottom w:val="single" w:sz="8" w:space="0" w:color="auto"/>
              <w:right w:val="single" w:sz="8" w:space="0" w:color="auto"/>
            </w:tcBorders>
            <w:vAlign w:val="center"/>
            <w:hideMark/>
          </w:tcPr>
          <w:p w:rsidR="0095445D" w:rsidRDefault="0095445D" w:rsidP="006D4A4E">
            <w:pPr>
              <w:widowControl/>
              <w:jc w:val="left"/>
              <w:rPr>
                <w:rFonts w:ascii="楷体_GB2312" w:eastAsia="楷体_GB2312"/>
                <w:sz w:val="36"/>
                <w:szCs w:val="36"/>
              </w:rPr>
            </w:pPr>
          </w:p>
        </w:tc>
        <w:tc>
          <w:tcPr>
            <w:tcW w:w="7332" w:type="dxa"/>
            <w:vMerge/>
            <w:tcBorders>
              <w:top w:val="single" w:sz="8" w:space="0" w:color="auto"/>
              <w:left w:val="single" w:sz="8" w:space="0" w:color="auto"/>
              <w:bottom w:val="single" w:sz="8" w:space="0" w:color="auto"/>
              <w:right w:val="single" w:sz="8" w:space="0" w:color="auto"/>
            </w:tcBorders>
            <w:vAlign w:val="center"/>
            <w:hideMark/>
          </w:tcPr>
          <w:p w:rsidR="0095445D" w:rsidRDefault="0095445D" w:rsidP="006D4A4E">
            <w:pPr>
              <w:widowControl/>
              <w:jc w:val="left"/>
              <w:rPr>
                <w:rFonts w:ascii="楷体_GB2312" w:eastAsia="楷体_GB2312"/>
                <w:sz w:val="36"/>
                <w:szCs w:val="36"/>
              </w:rPr>
            </w:pPr>
          </w:p>
        </w:tc>
        <w:tc>
          <w:tcPr>
            <w:tcW w:w="5016" w:type="dxa"/>
            <w:gridSpan w:val="2"/>
            <w:tcBorders>
              <w:top w:val="single" w:sz="8" w:space="0" w:color="auto"/>
              <w:left w:val="single" w:sz="8" w:space="0" w:color="auto"/>
              <w:bottom w:val="single" w:sz="8" w:space="0" w:color="auto"/>
              <w:right w:val="nil"/>
            </w:tcBorders>
            <w:vAlign w:val="center"/>
            <w:hideMark/>
          </w:tcPr>
          <w:p w:rsidR="0095445D" w:rsidRDefault="0095445D" w:rsidP="0095445D">
            <w:pPr>
              <w:spacing w:line="600" w:lineRule="exact"/>
              <w:rPr>
                <w:rFonts w:ascii="楷体_GB2312" w:eastAsia="楷体_GB2312"/>
                <w:sz w:val="36"/>
                <w:szCs w:val="36"/>
              </w:rPr>
            </w:pPr>
            <w:r>
              <w:rPr>
                <w:rFonts w:ascii="楷体_GB2312" w:eastAsia="楷体_GB2312" w:hint="eastAsia"/>
                <w:sz w:val="36"/>
                <w:szCs w:val="36"/>
              </w:rPr>
              <w:t>会办：</w:t>
            </w:r>
            <w:r>
              <w:t xml:space="preserve"> </w:t>
            </w:r>
            <w:bookmarkStart w:id="0" w:name="_GoBack"/>
            <w:bookmarkEnd w:id="0"/>
          </w:p>
        </w:tc>
      </w:tr>
    </w:tbl>
    <w:p w:rsidR="0095445D" w:rsidRDefault="0095445D" w:rsidP="0095445D">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95445D" w:rsidRDefault="0095445D" w:rsidP="0095445D">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95445D" w:rsidRDefault="0095445D" w:rsidP="0095445D">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95445D" w:rsidRDefault="0095445D" w:rsidP="0095445D">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95445D" w:rsidRDefault="0095445D" w:rsidP="0095445D">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95445D" w:rsidRDefault="0095445D" w:rsidP="0095445D">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95445D" w:rsidRDefault="0095445D" w:rsidP="0095445D">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95445D" w:rsidRDefault="0095445D" w:rsidP="0095445D">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95445D" w:rsidRDefault="0095445D" w:rsidP="0095445D">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95445D" w:rsidRDefault="0095445D" w:rsidP="0095445D">
      <w:pPr>
        <w:spacing w:line="560" w:lineRule="exact"/>
        <w:ind w:firstLineChars="1600" w:firstLine="5760"/>
        <w:rPr>
          <w:rFonts w:ascii="楷体_GB2312" w:eastAsia="楷体_GB2312" w:hint="eastAsia"/>
          <w:sz w:val="36"/>
          <w:szCs w:val="36"/>
        </w:rPr>
      </w:pPr>
      <w:r>
        <w:rPr>
          <w:rFonts w:ascii="楷体_GB2312" w:eastAsia="楷体_GB2312" w:hint="eastAsia"/>
          <w:sz w:val="36"/>
          <w:szCs w:val="36"/>
        </w:rPr>
        <w:t>二</w:t>
      </w:r>
      <w:r>
        <w:rPr>
          <w:rFonts w:eastAsia="楷体_GB2312"/>
          <w:sz w:val="36"/>
          <w:szCs w:val="36"/>
        </w:rPr>
        <w:t xml:space="preserve">O    </w:t>
      </w:r>
      <w:r>
        <w:rPr>
          <w:rFonts w:ascii="楷体_GB2312" w:eastAsia="楷体_GB2312" w:hint="eastAsia"/>
          <w:sz w:val="36"/>
          <w:szCs w:val="36"/>
        </w:rPr>
        <w:t>年 月 日</w:t>
      </w:r>
      <w:r>
        <w:t xml:space="preserve"> </w:t>
      </w:r>
    </w:p>
    <w:p w:rsidR="0095445D" w:rsidRDefault="0095445D" w:rsidP="0095445D">
      <w:pPr>
        <w:spacing w:line="40" w:lineRule="exact"/>
        <w:rPr>
          <w:rFonts w:ascii="黑体" w:eastAsia="黑体" w:hAnsi="黑体" w:hint="eastAsia"/>
          <w:sz w:val="36"/>
          <w:szCs w:val="36"/>
        </w:rPr>
      </w:pPr>
      <w:r>
        <w:rPr>
          <w:rFonts w:ascii="黑体" w:eastAsia="黑体" w:hAnsi="黑体" w:hint="eastAsia"/>
          <w:sz w:val="36"/>
          <w:szCs w:val="36"/>
        </w:rPr>
        <w:t xml:space="preserve"> </w:t>
      </w:r>
      <w:r>
        <w:t xml:space="preserve"> </w:t>
      </w:r>
    </w:p>
    <w:tbl>
      <w:tblPr>
        <w:tblW w:w="0" w:type="auto"/>
        <w:jc w:val="center"/>
        <w:tblLayout w:type="fixed"/>
        <w:tblLook w:val="04A0" w:firstRow="1" w:lastRow="0" w:firstColumn="1" w:lastColumn="0" w:noHBand="0" w:noVBand="1"/>
      </w:tblPr>
      <w:tblGrid>
        <w:gridCol w:w="9175"/>
      </w:tblGrid>
      <w:tr w:rsidR="0095445D" w:rsidTr="006D4A4E">
        <w:trPr>
          <w:trHeight w:val="13061"/>
          <w:jc w:val="center"/>
        </w:trPr>
        <w:tc>
          <w:tcPr>
            <w:tcW w:w="9175" w:type="dxa"/>
            <w:tcBorders>
              <w:top w:val="single" w:sz="8" w:space="0" w:color="auto"/>
              <w:left w:val="single" w:sz="8" w:space="0" w:color="auto"/>
              <w:bottom w:val="single" w:sz="8" w:space="0" w:color="auto"/>
              <w:right w:val="single" w:sz="8" w:space="0" w:color="auto"/>
            </w:tcBorders>
          </w:tcPr>
          <w:p w:rsidR="0095445D" w:rsidRDefault="0095445D" w:rsidP="006D4A4E">
            <w:pPr>
              <w:spacing w:line="560" w:lineRule="exact"/>
              <w:rPr>
                <w:rFonts w:ascii="黑体" w:eastAsia="黑体" w:hAnsi="黑体"/>
                <w:sz w:val="36"/>
                <w:szCs w:val="36"/>
              </w:rPr>
            </w:pPr>
            <w:r>
              <w:rPr>
                <w:rFonts w:ascii="黑体" w:eastAsia="黑体" w:hAnsi="黑体" w:hint="eastAsia"/>
                <w:sz w:val="36"/>
                <w:szCs w:val="36"/>
              </w:rPr>
              <w:lastRenderedPageBreak/>
              <w:t>内容：</w:t>
            </w:r>
            <w:r>
              <w:t xml:space="preserve"> </w:t>
            </w:r>
          </w:p>
          <w:p w:rsidR="0095445D" w:rsidRDefault="0095445D" w:rsidP="006D4A4E">
            <w:pPr>
              <w:spacing w:line="560" w:lineRule="exact"/>
              <w:ind w:firstLineChars="200" w:firstLine="560"/>
              <w:rPr>
                <w:rFonts w:ascii="宋体" w:hAnsi="宋体" w:hint="eastAsia"/>
                <w:sz w:val="28"/>
                <w:szCs w:val="28"/>
              </w:rPr>
            </w:pPr>
            <w:r>
              <w:rPr>
                <w:rFonts w:ascii="宋体" w:hAnsi="宋体" w:hint="eastAsia"/>
                <w:sz w:val="28"/>
                <w:szCs w:val="28"/>
              </w:rPr>
              <w:t>2017年11月，浙江省委办公厅、省政府办公厅出台《关于进一步健全完善普法责任制的实施意见》(浙委办发〔2017〕94号)文件，进一步明确普法职责任务。2019年出台《关于构建社会大普法格局的意见》(浙委办发〔2019〕5号)文件，要求党委领导、政府负责、社会参与、各方协同的法治宣传教育体制机制进一步健全，普法力量不断</w:t>
            </w:r>
            <w:proofErr w:type="gramStart"/>
            <w:r>
              <w:rPr>
                <w:rFonts w:ascii="宋体" w:hAnsi="宋体" w:hint="eastAsia"/>
                <w:sz w:val="28"/>
                <w:szCs w:val="28"/>
              </w:rPr>
              <w:t>状大</w:t>
            </w:r>
            <w:proofErr w:type="gramEnd"/>
            <w:r>
              <w:rPr>
                <w:rFonts w:ascii="宋体" w:hAnsi="宋体" w:hint="eastAsia"/>
                <w:sz w:val="28"/>
                <w:szCs w:val="28"/>
              </w:rPr>
              <w:t>，宣传载体日益丰富，宣传实效明显增强。从民主法治村创建、法治文化阵地打造到法律明白人、</w:t>
            </w:r>
            <w:proofErr w:type="gramStart"/>
            <w:r>
              <w:rPr>
                <w:rFonts w:ascii="宋体" w:hAnsi="宋体" w:hint="eastAsia"/>
                <w:sz w:val="28"/>
                <w:szCs w:val="28"/>
              </w:rPr>
              <w:t>尊学守用</w:t>
            </w:r>
            <w:proofErr w:type="gramEnd"/>
            <w:r>
              <w:rPr>
                <w:rFonts w:ascii="宋体" w:hAnsi="宋体" w:hint="eastAsia"/>
                <w:sz w:val="28"/>
                <w:szCs w:val="28"/>
              </w:rPr>
              <w:t>示范户的培育，法治宣传成效显著。然而，调研中我们发现普法工作任重道远，离预期仍有很大的差距。主要表现在：</w:t>
            </w:r>
          </w:p>
          <w:p w:rsidR="0095445D" w:rsidRDefault="0095445D" w:rsidP="006D4A4E">
            <w:pPr>
              <w:spacing w:line="560" w:lineRule="exact"/>
              <w:ind w:firstLineChars="200" w:firstLine="560"/>
              <w:rPr>
                <w:rFonts w:ascii="宋体" w:hAnsi="宋体" w:hint="eastAsia"/>
                <w:sz w:val="28"/>
                <w:szCs w:val="28"/>
              </w:rPr>
            </w:pPr>
            <w:proofErr w:type="gramStart"/>
            <w:r>
              <w:rPr>
                <w:rFonts w:ascii="宋体" w:hAnsi="宋体" w:hint="eastAsia"/>
                <w:sz w:val="28"/>
                <w:szCs w:val="28"/>
              </w:rPr>
              <w:t>一</w:t>
            </w:r>
            <w:proofErr w:type="gramEnd"/>
            <w:r>
              <w:rPr>
                <w:rFonts w:ascii="宋体" w:hAnsi="宋体" w:hint="eastAsia"/>
                <w:sz w:val="28"/>
                <w:szCs w:val="28"/>
              </w:rPr>
              <w:t>．</w:t>
            </w:r>
            <w:r>
              <w:rPr>
                <w:rFonts w:ascii="宋体" w:hAnsi="宋体" w:hint="eastAsia"/>
                <w:b/>
                <w:bCs/>
                <w:sz w:val="28"/>
                <w:szCs w:val="28"/>
              </w:rPr>
              <w:t>部分机关干部法律知识匮乏、法治理论理解不足。</w:t>
            </w:r>
            <w:r>
              <w:rPr>
                <w:rFonts w:ascii="宋体" w:hAnsi="宋体" w:hint="eastAsia"/>
                <w:sz w:val="28"/>
                <w:szCs w:val="28"/>
              </w:rPr>
              <w:t>部分机关干部不能用法治思维去行使和管理事务，甚至存在行政权力运用不当、不均衡，执法不规范的现象，有法不依，不合理行使自由裁量权等，严重影响了政府的公信力。党的十八届四中全会《决定》指出：“全面推进依法治国，基础在基层，工作重点在基层”。各级政府贯彻执行国家法律都是通过基层政府去具体落实，基层政府的依法行政状态，直接关系着国家法律法规贯彻落实的好坏，在一定程序上也决定着政府的公信力。但是“上面千条线，下面一根针”，作为行政管理的最小细胞，基层单位对应着各路“条条块块”，考核、督查、验收等工作现状，法律法规的学习往往会流于形式，甚至应付了事，做表面文章，严重制约了基层干部法治意识的提升，法治思维的养成。</w:t>
            </w:r>
          </w:p>
          <w:p w:rsidR="0095445D" w:rsidRDefault="0095445D" w:rsidP="006D4A4E">
            <w:pPr>
              <w:spacing w:line="560" w:lineRule="exact"/>
              <w:ind w:firstLineChars="200" w:firstLine="560"/>
              <w:rPr>
                <w:rFonts w:ascii="宋体" w:hAnsi="宋体" w:hint="eastAsia"/>
                <w:sz w:val="28"/>
                <w:szCs w:val="28"/>
              </w:rPr>
            </w:pPr>
            <w:r>
              <w:rPr>
                <w:rFonts w:ascii="宋体" w:hAnsi="宋体" w:hint="eastAsia"/>
                <w:sz w:val="28"/>
                <w:szCs w:val="28"/>
              </w:rPr>
              <w:t>二．</w:t>
            </w:r>
            <w:r>
              <w:rPr>
                <w:rFonts w:ascii="宋体" w:hAnsi="宋体" w:hint="eastAsia"/>
                <w:b/>
                <w:bCs/>
                <w:sz w:val="28"/>
                <w:szCs w:val="28"/>
              </w:rPr>
              <w:t>部分培育人员法治意识和法律知识无法满足现实需要。</w:t>
            </w:r>
            <w:r>
              <w:rPr>
                <w:rFonts w:ascii="宋体" w:hAnsi="宋体" w:hint="eastAsia"/>
                <w:sz w:val="28"/>
                <w:szCs w:val="28"/>
              </w:rPr>
              <w:t>部分培育人员（人民调解员、法律明白人、法律顾问等）年龄偏大，文化水平不高，导致有的调解结果看似合情合理，却未必合法，甚于出现反复调解都无效的情况，严格影响了群众法治观念的培育。目前虽有普法讲师团、普法志愿者、法治副校长等队伍，但队伍组成人员基本都是兼职，不能全身心的投入到普法工作中，同时法律知识更新很快，不论是时间还是专业度上，</w:t>
            </w:r>
            <w:r>
              <w:rPr>
                <w:rFonts w:ascii="宋体" w:hAnsi="宋体" w:hint="eastAsia"/>
                <w:sz w:val="28"/>
                <w:szCs w:val="28"/>
              </w:rPr>
              <w:lastRenderedPageBreak/>
              <w:t>现有的队伍难以满足群众的法治需求。正在开展的“法律明白人”和“尊学守用示范户”培育工程，旨在实现家家都有法律明白人的目标，推进农村法治化进程，但在老龄化程度加剧，村民文化素质普遍较低、缺少相应激励机制等因素的当下，既会制约队伍的培育壮大，也会制约队伍运用法治思维和法治方式解决实际问题能力和水平的提高。从法律明白人培育工程的启动到 “村村都有法律明白人”，再到 “家家都有法律明白人”的目标实现仅仅用三年的时间，过于追求量化指标，最后往往形式大于内容，任务大于实务。</w:t>
            </w:r>
          </w:p>
          <w:p w:rsidR="0095445D" w:rsidRDefault="0095445D" w:rsidP="006D4A4E">
            <w:pPr>
              <w:spacing w:line="560" w:lineRule="exact"/>
              <w:ind w:firstLineChars="200" w:firstLine="560"/>
              <w:rPr>
                <w:rFonts w:ascii="宋体" w:hAnsi="宋体" w:hint="eastAsia"/>
                <w:sz w:val="28"/>
                <w:szCs w:val="28"/>
              </w:rPr>
            </w:pPr>
            <w:r>
              <w:rPr>
                <w:rFonts w:ascii="宋体" w:hAnsi="宋体" w:hint="eastAsia"/>
                <w:sz w:val="28"/>
                <w:szCs w:val="28"/>
              </w:rPr>
              <w:t>三．</w:t>
            </w:r>
            <w:r>
              <w:rPr>
                <w:rFonts w:ascii="宋体" w:hAnsi="宋体" w:hint="eastAsia"/>
                <w:b/>
                <w:bCs/>
                <w:sz w:val="28"/>
                <w:szCs w:val="28"/>
              </w:rPr>
              <w:t>部分人民群众“信访不信法”， 遇事找法的局面尚未完全形成。</w:t>
            </w:r>
            <w:r>
              <w:rPr>
                <w:rFonts w:ascii="宋体" w:hAnsi="宋体" w:hint="eastAsia"/>
                <w:sz w:val="28"/>
                <w:szCs w:val="28"/>
              </w:rPr>
              <w:t>部分人民群众遇事会采用“一哭二闹三上访”的方式，依法办事意识尚未形成。加强社会法治建设工作关键在制度，基础在宣传。然而法治宣传过于形式化。针对法治宣传工作虽然制定了一系列的方案，诸如将法治元素融入美丽乡村、五星</w:t>
            </w:r>
            <w:smartTag w:uri="urn:schemas-microsoft-com:office:smarttags" w:element="chmetcnv">
              <w:smartTagPr>
                <w:attr w:name="UnitName" w:val="a"/>
                <w:attr w:name="SourceValue" w:val="3"/>
                <w:attr w:name="HasSpace" w:val="False"/>
                <w:attr w:name="Negative" w:val="False"/>
                <w:attr w:name="NumberType" w:val="1"/>
                <w:attr w:name="TCSC" w:val="0"/>
              </w:smartTagPr>
              <w:r>
                <w:rPr>
                  <w:rFonts w:ascii="宋体" w:hAnsi="宋体" w:hint="eastAsia"/>
                  <w:sz w:val="28"/>
                  <w:szCs w:val="28"/>
                </w:rPr>
                <w:t>3A</w:t>
              </w:r>
            </w:smartTag>
            <w:r>
              <w:rPr>
                <w:rFonts w:ascii="宋体" w:hAnsi="宋体" w:hint="eastAsia"/>
                <w:sz w:val="28"/>
                <w:szCs w:val="28"/>
              </w:rPr>
              <w:t>建设，完成各级民主法治村创建任务，每月开展各类主题法治宣传活动等等，从无形到从形，从软件到硬件，可谓方案详尽，内容繁多，但实际成效却并不显著。普法成员单位宣传形式单一，讲座、发放宣传资料等方式难以吸引群众的眼球；乡镇街道鲜有独具规模的法治文化阵地，与当地的特色文化融合度不高；村居（社区）方式传统，载体不多，创建存在走过场，将法治宣传工作作为一种硬性任务指标，宣传效果大打折扣。</w:t>
            </w:r>
          </w:p>
          <w:p w:rsidR="0095445D" w:rsidRDefault="0095445D" w:rsidP="006D4A4E">
            <w:pPr>
              <w:spacing w:line="560" w:lineRule="exact"/>
              <w:ind w:firstLineChars="200" w:firstLine="560"/>
              <w:rPr>
                <w:rFonts w:ascii="宋体" w:hAnsi="宋体" w:hint="eastAsia"/>
                <w:sz w:val="28"/>
                <w:szCs w:val="28"/>
              </w:rPr>
            </w:pPr>
            <w:r>
              <w:rPr>
                <w:rFonts w:ascii="宋体" w:hAnsi="宋体" w:hint="eastAsia"/>
                <w:sz w:val="28"/>
                <w:szCs w:val="28"/>
              </w:rPr>
              <w:t>为进一步深化法治宣传教育，加强社会法治建设，我们建议：</w:t>
            </w:r>
          </w:p>
          <w:p w:rsidR="0095445D" w:rsidRDefault="0095445D" w:rsidP="006D4A4E">
            <w:pPr>
              <w:spacing w:line="560" w:lineRule="exact"/>
              <w:ind w:firstLineChars="200" w:firstLine="562"/>
              <w:rPr>
                <w:rFonts w:ascii="宋体" w:hAnsi="宋体" w:hint="eastAsia"/>
                <w:sz w:val="28"/>
                <w:szCs w:val="28"/>
              </w:rPr>
            </w:pPr>
            <w:proofErr w:type="gramStart"/>
            <w:r>
              <w:rPr>
                <w:rFonts w:ascii="宋体" w:hAnsi="宋体" w:hint="eastAsia"/>
                <w:b/>
                <w:bCs/>
                <w:sz w:val="28"/>
                <w:szCs w:val="28"/>
              </w:rPr>
              <w:t>一</w:t>
            </w:r>
            <w:proofErr w:type="gramEnd"/>
            <w:r>
              <w:rPr>
                <w:rFonts w:ascii="宋体" w:hAnsi="宋体" w:hint="eastAsia"/>
                <w:b/>
                <w:bCs/>
                <w:sz w:val="28"/>
                <w:szCs w:val="28"/>
              </w:rPr>
              <w:t>．用法要“准”，首先强化基层干部法治思维。</w:t>
            </w:r>
            <w:r>
              <w:rPr>
                <w:rFonts w:ascii="宋体" w:hAnsi="宋体" w:hint="eastAsia"/>
                <w:sz w:val="28"/>
                <w:szCs w:val="28"/>
              </w:rPr>
              <w:t>加强基层干部对法治理论的系统化学习，提升干部的知识储备。定期开展党内法规制度的学习宣传，学会运用法治思维和法治方式推动各项工作。普法相关协调小组加大领导干部，特别是乡镇基层干部的法律业务培训，积极提高他们运用法律手段解决社会矛盾的能力。落实“谁执法谁普法”责任制，围绕医疗卫生、食品安全、道路交通、环境保护、安全生产、社会救助等与群众生</w:t>
            </w:r>
            <w:r>
              <w:rPr>
                <w:rFonts w:ascii="宋体" w:hAnsi="宋体" w:hint="eastAsia"/>
                <w:sz w:val="28"/>
                <w:szCs w:val="28"/>
              </w:rPr>
              <w:lastRenderedPageBreak/>
              <w:t>产生活密切关系的法律法规的学习，要求广大干部坚持学以致用，不断提高依法行政工作的能力和水平，使之成为基层化解矛盾、维护稳定的有力武器。以干部的依法行政、严格执法，推动广大群众的自觉尊法学法守法用法。</w:t>
            </w:r>
          </w:p>
          <w:p w:rsidR="0095445D" w:rsidRDefault="0095445D" w:rsidP="006D4A4E">
            <w:pPr>
              <w:spacing w:line="560" w:lineRule="exact"/>
              <w:ind w:firstLineChars="200" w:firstLine="562"/>
              <w:rPr>
                <w:rFonts w:ascii="宋体" w:hAnsi="宋体" w:hint="eastAsia"/>
                <w:sz w:val="28"/>
                <w:szCs w:val="28"/>
              </w:rPr>
            </w:pPr>
            <w:r>
              <w:rPr>
                <w:rFonts w:ascii="宋体" w:hAnsi="宋体" w:hint="eastAsia"/>
                <w:b/>
                <w:bCs/>
                <w:sz w:val="28"/>
                <w:szCs w:val="28"/>
              </w:rPr>
              <w:t>二．学法要“精”， 提升培育队伍整体素质。</w:t>
            </w:r>
            <w:r>
              <w:rPr>
                <w:rFonts w:ascii="宋体" w:hAnsi="宋体" w:hint="eastAsia"/>
                <w:sz w:val="28"/>
                <w:szCs w:val="28"/>
              </w:rPr>
              <w:t>加强普法讲师团、普法志愿者等队伍建设，壮大社会普法力量。根据重点普法对象组建相应的普法团队（进村、企业、机关、学校），凝心聚力开展普法活动，确保每支队伍每周都有普法活动或普法课程，通过精准的业务知识，赢得广大群众的认可，打造独具特色的普法团队。群众身边的“法律明白人”“尊学守用示范户”培育工程坚持培育力度、推进速度和使用程序相结合，注重于培训人员的质量，做到顶层设计与基层实践的完美结合，统筹资源，加大投入，实现培育工程效益最大化，务实打造服务乡村振兴战略的民心工程。以群众身边的“明白人”“示范户”示范引领作用，推动形成办事依法、遇事找法、解决问题用法、化解矛盾靠法的浓厚氛围。</w:t>
            </w:r>
          </w:p>
          <w:p w:rsidR="0095445D" w:rsidRDefault="0095445D" w:rsidP="006D4A4E">
            <w:pPr>
              <w:spacing w:line="560" w:lineRule="exact"/>
              <w:ind w:firstLineChars="200" w:firstLine="562"/>
              <w:rPr>
                <w:rFonts w:ascii="宋体" w:hAnsi="宋体" w:hint="eastAsia"/>
                <w:sz w:val="28"/>
                <w:szCs w:val="28"/>
              </w:rPr>
            </w:pPr>
            <w:r>
              <w:rPr>
                <w:rFonts w:ascii="宋体" w:hAnsi="宋体" w:hint="eastAsia"/>
                <w:b/>
                <w:bCs/>
                <w:sz w:val="28"/>
                <w:szCs w:val="28"/>
              </w:rPr>
              <w:t>三．内容要“实”， 尽量满足群众法治需求。</w:t>
            </w:r>
            <w:r>
              <w:rPr>
                <w:rFonts w:ascii="宋体" w:hAnsi="宋体" w:hint="eastAsia"/>
                <w:sz w:val="28"/>
                <w:szCs w:val="28"/>
              </w:rPr>
              <w:t>普法阵地要“实”。村级要因地制宜，结合民主法治村、善治示范村建设，将法治元素融入到美丽乡村建设当中，整合资源，建成党建+普法、廉政+普法、平安+普法等诸多普法+模式。镇级按照“一地一品”要求，挖掘镇域名人法治思想和当地特色（竹文化、青瓷文化、剪纸文</w:t>
            </w:r>
            <w:proofErr w:type="gramStart"/>
            <w:r>
              <w:rPr>
                <w:rFonts w:ascii="宋体" w:hAnsi="宋体" w:hint="eastAsia"/>
                <w:sz w:val="28"/>
                <w:szCs w:val="28"/>
              </w:rPr>
              <w:t>文</w:t>
            </w:r>
            <w:proofErr w:type="gramEnd"/>
            <w:r>
              <w:rPr>
                <w:rFonts w:ascii="宋体" w:hAnsi="宋体" w:hint="eastAsia"/>
                <w:sz w:val="28"/>
                <w:szCs w:val="28"/>
              </w:rPr>
              <w:t>等），培育一个稍具规模的综合性法治宣传阵地，打造有特色、多形式、广覆盖的品牌法治文化体系。区级开展各种法治文化阵地创建，提升基层创建工作积极性。活动开展要“实”。深入发掘法治文化作品，并将其转化为如小品、莲花落等群众喜闻乐见、通俗易懂的普法宣传形式，将群众身边的法律搬上舞台，提高群众参与度和实效性。服务工作要“实”。坚守服务为民的初心，提供法律知识上门宣传、法律难题上门解决、法律咨询上门服务，通过服务将法律知识深入到角角落落，以实务满足群众的法治需求，将法治意识深入到群</w:t>
            </w:r>
            <w:r>
              <w:rPr>
                <w:rFonts w:ascii="宋体" w:hAnsi="宋体" w:hint="eastAsia"/>
                <w:sz w:val="28"/>
                <w:szCs w:val="28"/>
              </w:rPr>
              <w:lastRenderedPageBreak/>
              <w:t>众心头。</w:t>
            </w:r>
          </w:p>
          <w:p w:rsidR="0095445D" w:rsidRDefault="0095445D" w:rsidP="006D4A4E">
            <w:pPr>
              <w:spacing w:line="560" w:lineRule="exact"/>
              <w:ind w:firstLineChars="200" w:firstLine="560"/>
              <w:rPr>
                <w:rFonts w:ascii="宋体" w:hAnsi="宋体" w:hint="eastAsia"/>
                <w:sz w:val="28"/>
                <w:szCs w:val="28"/>
              </w:rPr>
            </w:pPr>
          </w:p>
          <w:p w:rsidR="0095445D" w:rsidRDefault="0095445D" w:rsidP="006D4A4E">
            <w:pPr>
              <w:spacing w:line="560" w:lineRule="exact"/>
              <w:ind w:firstLineChars="200" w:firstLine="560"/>
              <w:rPr>
                <w:rFonts w:ascii="仿宋_GB2312" w:eastAsia="仿宋_GB2312"/>
                <w:sz w:val="28"/>
                <w:szCs w:val="28"/>
              </w:rPr>
            </w:pPr>
            <w:r>
              <w:rPr>
                <w:rFonts w:ascii="宋体" w:hAnsi="宋体" w:hint="eastAsia"/>
                <w:sz w:val="28"/>
                <w:szCs w:val="28"/>
              </w:rPr>
              <w:t xml:space="preserve">      </w:t>
            </w:r>
          </w:p>
        </w:tc>
      </w:tr>
    </w:tbl>
    <w:p w:rsidR="0095445D" w:rsidRDefault="0095445D" w:rsidP="0095445D">
      <w:pPr>
        <w:widowControl/>
        <w:jc w:val="left"/>
        <w:rPr>
          <w:rFonts w:ascii="宋体" w:hAnsi="宋体" w:cs="宋体" w:hint="eastAsia"/>
          <w:kern w:val="0"/>
          <w:sz w:val="24"/>
          <w:szCs w:val="24"/>
        </w:rPr>
      </w:pPr>
    </w:p>
    <w:p w:rsidR="00D46B9D" w:rsidRPr="0095445D" w:rsidRDefault="00D46B9D"/>
    <w:sectPr w:rsidR="00D46B9D" w:rsidRPr="0095445D">
      <w:pgSz w:w="11907" w:h="16840"/>
      <w:pgMar w:top="1077" w:right="1134" w:bottom="107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77B" w:rsidRDefault="008A677B" w:rsidP="0095445D">
      <w:r>
        <w:separator/>
      </w:r>
    </w:p>
  </w:endnote>
  <w:endnote w:type="continuationSeparator" w:id="0">
    <w:p w:rsidR="008A677B" w:rsidRDefault="008A677B" w:rsidP="0095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77B" w:rsidRDefault="008A677B" w:rsidP="0095445D">
      <w:r>
        <w:separator/>
      </w:r>
    </w:p>
  </w:footnote>
  <w:footnote w:type="continuationSeparator" w:id="0">
    <w:p w:rsidR="008A677B" w:rsidRDefault="008A677B" w:rsidP="00954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A8"/>
    <w:rsid w:val="003E26A8"/>
    <w:rsid w:val="008A677B"/>
    <w:rsid w:val="0095445D"/>
    <w:rsid w:val="00D46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5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44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5445D"/>
    <w:rPr>
      <w:sz w:val="18"/>
      <w:szCs w:val="18"/>
    </w:rPr>
  </w:style>
  <w:style w:type="paragraph" w:styleId="a4">
    <w:name w:val="footer"/>
    <w:basedOn w:val="a"/>
    <w:link w:val="Char0"/>
    <w:uiPriority w:val="99"/>
    <w:unhideWhenUsed/>
    <w:rsid w:val="009544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5445D"/>
    <w:rPr>
      <w:sz w:val="18"/>
      <w:szCs w:val="18"/>
    </w:rPr>
  </w:style>
  <w:style w:type="character" w:styleId="a5">
    <w:name w:val="Hyperlink"/>
    <w:basedOn w:val="a0"/>
    <w:uiPriority w:val="99"/>
    <w:rsid w:val="009544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5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44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5445D"/>
    <w:rPr>
      <w:sz w:val="18"/>
      <w:szCs w:val="18"/>
    </w:rPr>
  </w:style>
  <w:style w:type="paragraph" w:styleId="a4">
    <w:name w:val="footer"/>
    <w:basedOn w:val="a"/>
    <w:link w:val="Char0"/>
    <w:uiPriority w:val="99"/>
    <w:unhideWhenUsed/>
    <w:rsid w:val="009544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5445D"/>
    <w:rPr>
      <w:sz w:val="18"/>
      <w:szCs w:val="18"/>
    </w:rPr>
  </w:style>
  <w:style w:type="character" w:styleId="a5">
    <w:name w:val="Hyperlink"/>
    <w:basedOn w:val="a0"/>
    <w:uiPriority w:val="99"/>
    <w:rsid w:val="009544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391</Words>
  <Characters>2231</Characters>
  <Application>Microsoft Office Word</Application>
  <DocSecurity>0</DocSecurity>
  <Lines>18</Lines>
  <Paragraphs>5</Paragraphs>
  <ScaleCrop>false</ScaleCrop>
  <Company>Microsoft</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田玲燕</dc:creator>
  <cp:keywords/>
  <dc:description/>
  <cp:lastModifiedBy>田玲燕</cp:lastModifiedBy>
  <cp:revision>2</cp:revision>
  <dcterms:created xsi:type="dcterms:W3CDTF">2020-09-15T07:57:00Z</dcterms:created>
  <dcterms:modified xsi:type="dcterms:W3CDTF">2020-09-15T07:58:00Z</dcterms:modified>
</cp:coreProperties>
</file>