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BB" w:rsidRDefault="00746EBB" w:rsidP="00746EBB">
      <w:pPr>
        <w:wordWrap w:val="0"/>
        <w:spacing w:line="100" w:lineRule="exact"/>
        <w:jc w:val="right"/>
        <w:rPr>
          <w:rFonts w:ascii="楷体_GB2312" w:eastAsia="楷体_GB2312"/>
          <w:sz w:val="37"/>
          <w:szCs w:val="37"/>
        </w:rPr>
      </w:pPr>
      <w:r>
        <w:rPr>
          <w:rFonts w:ascii="楷体_GB2312" w:eastAsia="楷体_GB2312" w:hint="eastAsia"/>
          <w:sz w:val="37"/>
          <w:szCs w:val="37"/>
        </w:rPr>
        <w:t xml:space="preserve">     </w:t>
      </w:r>
      <w:r>
        <w:t xml:space="preserve"> </w:t>
      </w:r>
    </w:p>
    <w:p w:rsidR="00746EBB" w:rsidRDefault="00746EBB" w:rsidP="00746EBB">
      <w:pPr>
        <w:wordWrap w:val="0"/>
        <w:jc w:val="right"/>
        <w:rPr>
          <w:rFonts w:ascii="楷体_GB2312" w:eastAsia="楷体_GB2312" w:hint="eastAsia"/>
          <w:sz w:val="37"/>
          <w:szCs w:val="37"/>
        </w:rPr>
      </w:pPr>
      <w:r>
        <w:rPr>
          <w:rFonts w:ascii="楷体_GB2312" w:eastAsia="楷体_GB2312" w:hint="eastAsia"/>
          <w:sz w:val="37"/>
          <w:szCs w:val="37"/>
        </w:rPr>
        <w:t>第</w:t>
      </w:r>
      <w:r>
        <w:rPr>
          <w:rFonts w:ascii="楷体_GB2312" w:eastAsia="楷体_GB2312" w:hint="eastAsia"/>
          <w:sz w:val="37"/>
          <w:szCs w:val="37"/>
          <w:u w:val="single"/>
        </w:rPr>
        <w:t xml:space="preserve">  381  </w:t>
      </w:r>
      <w:r>
        <w:rPr>
          <w:rFonts w:ascii="楷体_GB2312" w:eastAsia="楷体_GB2312" w:hint="eastAsia"/>
          <w:sz w:val="37"/>
          <w:szCs w:val="37"/>
        </w:rPr>
        <w:t>号</w:t>
      </w:r>
      <w:r>
        <w:t xml:space="preserve"> </w:t>
      </w:r>
    </w:p>
    <w:p w:rsidR="00746EBB" w:rsidRDefault="00746EBB" w:rsidP="00746EBB">
      <w:pPr>
        <w:wordWrap w:val="0"/>
        <w:jc w:val="right"/>
        <w:rPr>
          <w:rFonts w:ascii="楷体_GB2312" w:eastAsia="楷体_GB2312" w:hint="eastAsia"/>
          <w:sz w:val="40"/>
          <w:szCs w:val="40"/>
        </w:rPr>
      </w:pPr>
      <w:r>
        <w:rPr>
          <w:rFonts w:ascii="楷体_GB2312" w:eastAsia="楷体_GB2312" w:hint="eastAsia"/>
          <w:sz w:val="37"/>
          <w:szCs w:val="37"/>
        </w:rPr>
        <w:t xml:space="preserve">     第</w:t>
      </w:r>
      <w:r>
        <w:rPr>
          <w:rFonts w:ascii="楷体_GB2312" w:eastAsia="楷体_GB2312" w:hint="eastAsia"/>
          <w:sz w:val="37"/>
          <w:szCs w:val="37"/>
          <w:u w:val="single"/>
        </w:rPr>
        <w:t xml:space="preserve">  </w:t>
      </w:r>
      <w:r>
        <w:rPr>
          <w:rFonts w:ascii="楷体_GB2312" w:eastAsia="楷体_GB2312" w:hint="eastAsia"/>
          <w:sz w:val="37"/>
          <w:szCs w:val="37"/>
        </w:rPr>
        <w:t>类</w:t>
      </w:r>
      <w:r>
        <w:t xml:space="preserve"> </w:t>
      </w:r>
    </w:p>
    <w:p w:rsidR="00746EBB" w:rsidRDefault="00746EBB" w:rsidP="00746EBB">
      <w:pPr>
        <w:spacing w:line="880" w:lineRule="exact"/>
        <w:jc w:val="center"/>
        <w:rPr>
          <w:rFonts w:ascii="宋体" w:hAnsi="宋体" w:hint="eastAsia"/>
          <w:sz w:val="52"/>
          <w:szCs w:val="52"/>
        </w:rPr>
      </w:pPr>
      <w:r>
        <w:rPr>
          <w:rFonts w:ascii="宋体" w:hAnsi="宋体" w:hint="eastAsia"/>
          <w:sz w:val="52"/>
          <w:szCs w:val="52"/>
        </w:rPr>
        <w:t>中国人民政治协商会议绍兴市委员会</w:t>
      </w:r>
      <w:r>
        <w:t xml:space="preserve"> </w:t>
      </w:r>
    </w:p>
    <w:p w:rsidR="00746EBB" w:rsidRDefault="00746EBB" w:rsidP="00746EBB">
      <w:pPr>
        <w:spacing w:line="900" w:lineRule="exact"/>
        <w:jc w:val="center"/>
        <w:rPr>
          <w:rFonts w:ascii="宋体" w:hAnsi="宋体" w:hint="eastAsia"/>
          <w:sz w:val="84"/>
          <w:szCs w:val="84"/>
        </w:rPr>
      </w:pPr>
      <w:r>
        <w:rPr>
          <w:rFonts w:ascii="宋体" w:hAnsi="宋体" w:hint="eastAsia"/>
          <w:sz w:val="84"/>
          <w:szCs w:val="84"/>
        </w:rPr>
        <w:t>提     案</w:t>
      </w:r>
      <w:r>
        <w:t xml:space="preserve"> </w:t>
      </w:r>
    </w:p>
    <w:p w:rsidR="00746EBB" w:rsidRDefault="00746EBB" w:rsidP="00746EBB">
      <w:pPr>
        <w:spacing w:line="10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746EBB" w:rsidRDefault="00746EBB" w:rsidP="00746EBB">
      <w:pPr>
        <w:spacing w:line="240" w:lineRule="exact"/>
        <w:jc w:val="center"/>
        <w:rPr>
          <w:rFonts w:ascii="方正小标宋简体" w:eastAsia="方正小标宋简体" w:hint="eastAsia"/>
          <w:sz w:val="80"/>
          <w:szCs w:val="80"/>
        </w:rPr>
      </w:pPr>
      <w:r>
        <w:rPr>
          <w:rFonts w:ascii="方正小标宋简体" w:eastAsia="方正小标宋简体" w:hint="eastAsia"/>
          <w:sz w:val="80"/>
          <w:szCs w:val="80"/>
        </w:rPr>
        <w:t xml:space="preserve"> </w:t>
      </w:r>
      <w:r>
        <w:t xml:space="preserve"> </w:t>
      </w:r>
    </w:p>
    <w:p w:rsidR="00746EBB" w:rsidRDefault="00746EBB" w:rsidP="00746EBB">
      <w:pPr>
        <w:rPr>
          <w:rFonts w:ascii="楷体_GB2312" w:eastAsia="楷体_GB2312" w:hint="eastAsia"/>
          <w:sz w:val="32"/>
          <w:szCs w:val="32"/>
        </w:rPr>
      </w:pPr>
      <w:r>
        <w:rPr>
          <w:rFonts w:ascii="楷体_GB2312" w:eastAsia="楷体_GB2312" w:hint="eastAsia"/>
          <w:sz w:val="37"/>
          <w:szCs w:val="37"/>
        </w:rPr>
        <w:t>案由</w:t>
      </w:r>
      <w:r>
        <w:rPr>
          <w:rFonts w:ascii="黑体" w:eastAsia="黑体" w:hAnsi="黑体" w:hint="eastAsia"/>
          <w:sz w:val="37"/>
          <w:szCs w:val="37"/>
        </w:rPr>
        <w:t>：</w:t>
      </w:r>
      <w:r>
        <w:rPr>
          <w:rFonts w:ascii="楷体_GB2312" w:eastAsia="楷体_GB2312" w:hint="eastAsia"/>
          <w:sz w:val="32"/>
          <w:szCs w:val="32"/>
        </w:rPr>
        <w:t xml:space="preserve"> 关于进一步优化我市民营经济法治环境的建议</w:t>
      </w:r>
      <w:r>
        <w:t xml:space="preserve"> </w:t>
      </w:r>
    </w:p>
    <w:p w:rsidR="00746EBB" w:rsidRDefault="00746EBB" w:rsidP="00746EBB">
      <w:pPr>
        <w:spacing w:line="100" w:lineRule="exact"/>
        <w:rPr>
          <w:rFonts w:ascii="楷体_GB2312" w:eastAsia="楷体_GB2312" w:hint="eastAsia"/>
          <w:sz w:val="36"/>
          <w:szCs w:val="36"/>
        </w:rPr>
      </w:pPr>
      <w:r>
        <w:rPr>
          <w:rFonts w:ascii="楷体_GB2312" w:eastAsia="楷体_GB2312" w:hint="eastAsia"/>
          <w:sz w:val="36"/>
          <w:szCs w:val="36"/>
        </w:rPr>
        <w:t xml:space="preserve"> </w:t>
      </w:r>
      <w:r>
        <w:t xml:space="preserve"> </w:t>
      </w:r>
    </w:p>
    <w:tbl>
      <w:tblPr>
        <w:tblW w:w="9855" w:type="dxa"/>
        <w:jc w:val="center"/>
        <w:tblLayout w:type="fixed"/>
        <w:tblLook w:val="04A0" w:firstRow="1" w:lastRow="0" w:firstColumn="1" w:lastColumn="0" w:noHBand="0" w:noVBand="1"/>
      </w:tblPr>
      <w:tblGrid>
        <w:gridCol w:w="2523"/>
        <w:gridCol w:w="2316"/>
        <w:gridCol w:w="3794"/>
        <w:gridCol w:w="1222"/>
      </w:tblGrid>
      <w:tr w:rsidR="00746EBB" w:rsidTr="006D4A4E">
        <w:trPr>
          <w:trHeight w:val="640"/>
          <w:jc w:val="center"/>
        </w:trPr>
        <w:tc>
          <w:tcPr>
            <w:tcW w:w="2523" w:type="dxa"/>
            <w:tcBorders>
              <w:top w:val="single" w:sz="8" w:space="0" w:color="auto"/>
              <w:left w:val="nil"/>
              <w:bottom w:val="single" w:sz="8" w:space="0" w:color="auto"/>
              <w:right w:val="single" w:sz="8" w:space="0" w:color="auto"/>
            </w:tcBorders>
            <w:vAlign w:val="center"/>
            <w:hideMark/>
          </w:tcPr>
          <w:p w:rsidR="00746EBB" w:rsidRDefault="00746EBB" w:rsidP="006D4A4E">
            <w:pPr>
              <w:spacing w:line="400" w:lineRule="exact"/>
              <w:jc w:val="center"/>
              <w:rPr>
                <w:rFonts w:ascii="楷体_GB2312" w:eastAsia="楷体_GB2312"/>
                <w:sz w:val="36"/>
                <w:szCs w:val="36"/>
              </w:rPr>
            </w:pPr>
            <w:r>
              <w:rPr>
                <w:rFonts w:ascii="楷体_GB2312" w:eastAsia="楷体_GB2312" w:hint="eastAsia"/>
                <w:sz w:val="36"/>
                <w:szCs w:val="36"/>
              </w:rPr>
              <w:t>提案人</w:t>
            </w:r>
            <w:r>
              <w:t> </w:t>
            </w:r>
          </w:p>
        </w:tc>
        <w:tc>
          <w:tcPr>
            <w:tcW w:w="2316" w:type="dxa"/>
            <w:tcBorders>
              <w:top w:val="single" w:sz="8" w:space="0" w:color="auto"/>
              <w:left w:val="nil"/>
              <w:bottom w:val="single" w:sz="8" w:space="0" w:color="auto"/>
              <w:right w:val="single" w:sz="8" w:space="0" w:color="auto"/>
            </w:tcBorders>
            <w:vAlign w:val="center"/>
            <w:hideMark/>
          </w:tcPr>
          <w:p w:rsidR="00746EBB" w:rsidRDefault="00746EBB" w:rsidP="006D4A4E">
            <w:pPr>
              <w:spacing w:line="400" w:lineRule="exact"/>
              <w:jc w:val="center"/>
              <w:rPr>
                <w:rFonts w:ascii="楷体_GB2312" w:eastAsia="楷体_GB2312"/>
                <w:sz w:val="36"/>
                <w:szCs w:val="36"/>
              </w:rPr>
            </w:pPr>
            <w:r>
              <w:rPr>
                <w:rFonts w:ascii="楷体_GB2312" w:eastAsia="楷体_GB2312" w:hint="eastAsia"/>
                <w:sz w:val="36"/>
                <w:szCs w:val="36"/>
              </w:rPr>
              <w:t>联系电话</w:t>
            </w:r>
            <w:r>
              <w:t> </w:t>
            </w:r>
          </w:p>
        </w:tc>
        <w:tc>
          <w:tcPr>
            <w:tcW w:w="3794" w:type="dxa"/>
            <w:tcBorders>
              <w:top w:val="single" w:sz="8" w:space="0" w:color="auto"/>
              <w:left w:val="nil"/>
              <w:bottom w:val="single" w:sz="8" w:space="0" w:color="auto"/>
              <w:right w:val="single" w:sz="8" w:space="0" w:color="auto"/>
            </w:tcBorders>
            <w:vAlign w:val="center"/>
            <w:hideMark/>
          </w:tcPr>
          <w:p w:rsidR="00746EBB" w:rsidRDefault="00746EBB" w:rsidP="006D4A4E">
            <w:pPr>
              <w:spacing w:line="560" w:lineRule="exact"/>
              <w:jc w:val="center"/>
              <w:rPr>
                <w:rFonts w:ascii="楷体_GB2312" w:eastAsia="楷体_GB2312"/>
                <w:sz w:val="36"/>
                <w:szCs w:val="36"/>
              </w:rPr>
            </w:pPr>
            <w:r>
              <w:rPr>
                <w:rFonts w:ascii="楷体_GB2312" w:eastAsia="楷体_GB2312" w:hint="eastAsia"/>
                <w:sz w:val="36"/>
                <w:szCs w:val="36"/>
              </w:rPr>
              <w:t>通 讯 地 址</w:t>
            </w:r>
            <w:r>
              <w:t> </w:t>
            </w:r>
          </w:p>
        </w:tc>
        <w:tc>
          <w:tcPr>
            <w:tcW w:w="1222" w:type="dxa"/>
            <w:tcBorders>
              <w:top w:val="single" w:sz="8" w:space="0" w:color="auto"/>
              <w:left w:val="nil"/>
              <w:bottom w:val="single" w:sz="8" w:space="0" w:color="auto"/>
              <w:right w:val="nil"/>
            </w:tcBorders>
            <w:vAlign w:val="center"/>
            <w:hideMark/>
          </w:tcPr>
          <w:p w:rsidR="00746EBB" w:rsidRDefault="00746EBB" w:rsidP="006D4A4E">
            <w:pPr>
              <w:spacing w:line="560" w:lineRule="exact"/>
              <w:jc w:val="center"/>
              <w:rPr>
                <w:rFonts w:ascii="楷体_GB2312" w:eastAsia="楷体_GB2312"/>
                <w:sz w:val="36"/>
                <w:szCs w:val="36"/>
              </w:rPr>
            </w:pPr>
            <w:r>
              <w:rPr>
                <w:rFonts w:ascii="楷体_GB2312" w:eastAsia="楷体_GB2312" w:hint="eastAsia"/>
                <w:sz w:val="36"/>
                <w:szCs w:val="36"/>
              </w:rPr>
              <w:t>邮 编</w:t>
            </w:r>
            <w:r>
              <w:t> </w:t>
            </w: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hideMark/>
          </w:tcPr>
          <w:p w:rsidR="00746EBB" w:rsidRDefault="00746EBB" w:rsidP="006D4A4E">
            <w:pPr>
              <w:spacing w:line="560" w:lineRule="exact"/>
              <w:ind w:firstLineChars="200" w:firstLine="560"/>
              <w:rPr>
                <w:rFonts w:ascii="宋体" w:hAnsi="宋体"/>
                <w:sz w:val="28"/>
                <w:szCs w:val="28"/>
              </w:rPr>
            </w:pPr>
            <w:proofErr w:type="gramStart"/>
            <w:r>
              <w:rPr>
                <w:rFonts w:ascii="宋体" w:hAnsi="宋体" w:hint="eastAsia"/>
                <w:sz w:val="28"/>
                <w:szCs w:val="28"/>
              </w:rPr>
              <w:t>钱鸣红</w:t>
            </w:r>
            <w:proofErr w:type="gramEnd"/>
            <w:r>
              <w:t> </w:t>
            </w: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宋体" w:hAnsi="宋体"/>
                <w:sz w:val="28"/>
                <w:szCs w:val="28"/>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28"/>
                <w:szCs w:val="28"/>
              </w:rPr>
            </w:pP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tcPr>
          <w:p w:rsidR="00746EBB" w:rsidRDefault="00746EBB" w:rsidP="006D4A4E">
            <w:pPr>
              <w:spacing w:line="560" w:lineRule="exact"/>
              <w:ind w:firstLineChars="200" w:firstLine="560"/>
              <w:rPr>
                <w:rFonts w:ascii="宋体" w:hAnsi="宋体"/>
                <w:sz w:val="28"/>
                <w:szCs w:val="28"/>
              </w:rPr>
            </w:pP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rPr>
                <w:rFonts w:ascii="宋体" w:hAnsi="宋体"/>
                <w:sz w:val="28"/>
                <w:szCs w:val="28"/>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宋体" w:hAnsi="宋体"/>
                <w:sz w:val="28"/>
                <w:szCs w:val="28"/>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28"/>
                <w:szCs w:val="28"/>
              </w:rPr>
            </w:pPr>
          </w:p>
        </w:tc>
      </w:tr>
      <w:tr w:rsidR="00746EBB" w:rsidTr="006D4A4E">
        <w:trPr>
          <w:trHeight w:val="624"/>
          <w:jc w:val="center"/>
        </w:trPr>
        <w:tc>
          <w:tcPr>
            <w:tcW w:w="9855" w:type="dxa"/>
            <w:gridSpan w:val="4"/>
            <w:tcBorders>
              <w:top w:val="single" w:sz="8" w:space="0" w:color="auto"/>
              <w:left w:val="nil"/>
              <w:bottom w:val="single" w:sz="8" w:space="0" w:color="auto"/>
              <w:right w:val="nil"/>
            </w:tcBorders>
            <w:hideMark/>
          </w:tcPr>
          <w:p w:rsidR="00746EBB" w:rsidRDefault="00746EBB" w:rsidP="006D4A4E">
            <w:pPr>
              <w:spacing w:line="560" w:lineRule="exact"/>
              <w:ind w:firstLineChars="50" w:firstLine="180"/>
              <w:rPr>
                <w:rFonts w:ascii="方正小标宋简体" w:eastAsia="方正小标宋简体"/>
                <w:sz w:val="40"/>
                <w:szCs w:val="40"/>
              </w:rPr>
            </w:pPr>
            <w:r>
              <w:rPr>
                <w:rFonts w:ascii="楷体_GB2312" w:eastAsia="楷体_GB2312" w:hint="eastAsia"/>
                <w:sz w:val="36"/>
                <w:szCs w:val="36"/>
              </w:rPr>
              <w:t>附议人</w:t>
            </w:r>
            <w:r>
              <w:t> </w:t>
            </w: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32"/>
                <w:szCs w:val="32"/>
              </w:rPr>
            </w:pP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32"/>
                <w:szCs w:val="32"/>
              </w:rPr>
            </w:pP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32"/>
                <w:szCs w:val="32"/>
              </w:rPr>
            </w:pP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32"/>
                <w:szCs w:val="32"/>
              </w:rPr>
            </w:pP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方正小标宋简体" w:eastAsia="方正小标宋简体"/>
                <w:sz w:val="40"/>
                <w:szCs w:val="40"/>
              </w:rPr>
            </w:pPr>
          </w:p>
        </w:tc>
        <w:tc>
          <w:tcPr>
            <w:tcW w:w="2316"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3794" w:type="dxa"/>
            <w:tcBorders>
              <w:top w:val="single" w:sz="8" w:space="0" w:color="auto"/>
              <w:left w:val="nil"/>
              <w:bottom w:val="single" w:sz="8" w:space="0" w:color="auto"/>
              <w:right w:val="single" w:sz="8" w:space="0" w:color="auto"/>
            </w:tcBorders>
          </w:tcPr>
          <w:p w:rsidR="00746EBB" w:rsidRDefault="00746EBB" w:rsidP="006D4A4E">
            <w:pPr>
              <w:spacing w:line="560" w:lineRule="exact"/>
              <w:jc w:val="center"/>
              <w:rPr>
                <w:rFonts w:ascii="仿宋_GB2312" w:eastAsia="仿宋_GB2312"/>
                <w:sz w:val="32"/>
                <w:szCs w:val="32"/>
              </w:rPr>
            </w:pPr>
          </w:p>
        </w:tc>
        <w:tc>
          <w:tcPr>
            <w:tcW w:w="1222" w:type="dxa"/>
            <w:tcBorders>
              <w:top w:val="single" w:sz="8" w:space="0" w:color="auto"/>
              <w:left w:val="nil"/>
              <w:bottom w:val="single" w:sz="8" w:space="0" w:color="auto"/>
              <w:right w:val="nil"/>
            </w:tcBorders>
          </w:tcPr>
          <w:p w:rsidR="00746EBB" w:rsidRDefault="00746EBB" w:rsidP="006D4A4E">
            <w:pPr>
              <w:spacing w:line="560" w:lineRule="exact"/>
              <w:jc w:val="center"/>
              <w:rPr>
                <w:rFonts w:ascii="仿宋_GB2312" w:eastAsia="仿宋_GB2312"/>
                <w:sz w:val="32"/>
                <w:szCs w:val="32"/>
              </w:rPr>
            </w:pPr>
          </w:p>
        </w:tc>
      </w:tr>
      <w:tr w:rsidR="00746EBB" w:rsidTr="006D4A4E">
        <w:trPr>
          <w:trHeight w:val="624"/>
          <w:jc w:val="center"/>
        </w:trPr>
        <w:tc>
          <w:tcPr>
            <w:tcW w:w="2523" w:type="dxa"/>
            <w:tcBorders>
              <w:top w:val="single" w:sz="8" w:space="0" w:color="auto"/>
              <w:left w:val="nil"/>
              <w:bottom w:val="single" w:sz="8" w:space="0" w:color="auto"/>
              <w:right w:val="single" w:sz="8" w:space="0" w:color="auto"/>
            </w:tcBorders>
            <w:vAlign w:val="center"/>
            <w:hideMark/>
          </w:tcPr>
          <w:p w:rsidR="00746EBB" w:rsidRDefault="00746EBB" w:rsidP="006D4A4E">
            <w:pPr>
              <w:spacing w:line="400" w:lineRule="exact"/>
              <w:jc w:val="center"/>
              <w:rPr>
                <w:rFonts w:ascii="楷体_GB2312" w:eastAsia="楷体_GB2312"/>
                <w:sz w:val="36"/>
                <w:szCs w:val="36"/>
              </w:rPr>
            </w:pPr>
            <w:r>
              <w:rPr>
                <w:rFonts w:ascii="楷体_GB2312" w:eastAsia="楷体_GB2312" w:hint="eastAsia"/>
                <w:sz w:val="36"/>
                <w:szCs w:val="36"/>
              </w:rPr>
              <w:t>集体提案单位</w:t>
            </w:r>
            <w:r>
              <w:t> </w:t>
            </w:r>
          </w:p>
          <w:p w:rsidR="00746EBB" w:rsidRDefault="00746EBB" w:rsidP="006D4A4E">
            <w:pPr>
              <w:spacing w:line="400" w:lineRule="exact"/>
              <w:jc w:val="center"/>
              <w:rPr>
                <w:rFonts w:ascii="楷体_GB2312" w:eastAsia="楷体_GB2312"/>
                <w:sz w:val="36"/>
                <w:szCs w:val="36"/>
              </w:rPr>
            </w:pPr>
            <w:r>
              <w:rPr>
                <w:rFonts w:ascii="楷体_GB2312" w:eastAsia="楷体_GB2312" w:hint="eastAsia"/>
                <w:sz w:val="36"/>
                <w:szCs w:val="36"/>
              </w:rPr>
              <w:t>负责人签名处</w:t>
            </w:r>
            <w:r>
              <w:t> </w:t>
            </w:r>
          </w:p>
        </w:tc>
        <w:tc>
          <w:tcPr>
            <w:tcW w:w="7332" w:type="dxa"/>
            <w:gridSpan w:val="3"/>
            <w:tcBorders>
              <w:top w:val="single" w:sz="8" w:space="0" w:color="auto"/>
              <w:left w:val="nil"/>
              <w:bottom w:val="single" w:sz="8" w:space="0" w:color="auto"/>
              <w:right w:val="nil"/>
            </w:tcBorders>
          </w:tcPr>
          <w:p w:rsidR="00746EBB" w:rsidRDefault="00746EBB" w:rsidP="006D4A4E">
            <w:pPr>
              <w:spacing w:line="560" w:lineRule="exact"/>
              <w:jc w:val="center"/>
              <w:rPr>
                <w:rFonts w:ascii="方正小标宋简体" w:eastAsia="方正小标宋简体"/>
                <w:sz w:val="40"/>
                <w:szCs w:val="40"/>
              </w:rPr>
            </w:pPr>
          </w:p>
        </w:tc>
      </w:tr>
      <w:tr w:rsidR="00746EBB" w:rsidTr="006D4A4E">
        <w:trPr>
          <w:trHeight w:val="187"/>
          <w:jc w:val="center"/>
        </w:trPr>
        <w:tc>
          <w:tcPr>
            <w:tcW w:w="9855" w:type="dxa"/>
            <w:gridSpan w:val="4"/>
            <w:tcBorders>
              <w:top w:val="single" w:sz="8" w:space="0" w:color="auto"/>
              <w:left w:val="nil"/>
              <w:bottom w:val="single" w:sz="8" w:space="0" w:color="auto"/>
              <w:right w:val="nil"/>
            </w:tcBorders>
          </w:tcPr>
          <w:p w:rsidR="00746EBB" w:rsidRDefault="00746EBB" w:rsidP="006D4A4E">
            <w:pPr>
              <w:spacing w:line="40" w:lineRule="exact"/>
              <w:jc w:val="center"/>
              <w:rPr>
                <w:rFonts w:ascii="方正小标宋简体" w:eastAsia="方正小标宋简体"/>
                <w:sz w:val="11"/>
                <w:szCs w:val="11"/>
                <w:u w:val="single"/>
              </w:rPr>
            </w:pPr>
          </w:p>
        </w:tc>
      </w:tr>
      <w:tr w:rsidR="00746EBB" w:rsidTr="006D4A4E">
        <w:trPr>
          <w:cantSplit/>
          <w:trHeight w:val="907"/>
          <w:jc w:val="center"/>
        </w:trPr>
        <w:tc>
          <w:tcPr>
            <w:tcW w:w="2523" w:type="dxa"/>
            <w:vMerge w:val="restart"/>
            <w:tcBorders>
              <w:top w:val="nil"/>
              <w:left w:val="nil"/>
              <w:bottom w:val="single" w:sz="8" w:space="0" w:color="auto"/>
              <w:right w:val="single" w:sz="8" w:space="0" w:color="auto"/>
            </w:tcBorders>
            <w:vAlign w:val="center"/>
            <w:hideMark/>
          </w:tcPr>
          <w:p w:rsidR="00746EBB" w:rsidRDefault="00746EBB" w:rsidP="006D4A4E">
            <w:pPr>
              <w:spacing w:line="600" w:lineRule="exact"/>
              <w:jc w:val="center"/>
              <w:rPr>
                <w:rFonts w:ascii="楷体_GB2312" w:eastAsia="楷体_GB2312"/>
                <w:sz w:val="36"/>
                <w:szCs w:val="36"/>
              </w:rPr>
            </w:pPr>
            <w:r>
              <w:rPr>
                <w:rFonts w:ascii="楷体_GB2312" w:eastAsia="楷体_GB2312" w:hint="eastAsia"/>
                <w:sz w:val="36"/>
                <w:szCs w:val="36"/>
              </w:rPr>
              <w:t>提案审查</w:t>
            </w:r>
            <w:r>
              <w:t> </w:t>
            </w:r>
          </w:p>
          <w:p w:rsidR="00746EBB" w:rsidRDefault="00746EBB" w:rsidP="006D4A4E">
            <w:pPr>
              <w:spacing w:line="600" w:lineRule="exact"/>
              <w:jc w:val="center"/>
              <w:rPr>
                <w:rFonts w:ascii="楷体_GB2312" w:eastAsia="楷体_GB2312"/>
                <w:sz w:val="36"/>
                <w:szCs w:val="36"/>
              </w:rPr>
            </w:pPr>
            <w:r>
              <w:rPr>
                <w:rFonts w:ascii="楷体_GB2312" w:eastAsia="楷体_GB2312" w:hint="eastAsia"/>
                <w:sz w:val="36"/>
                <w:szCs w:val="36"/>
              </w:rPr>
              <w:t>机构意见</w:t>
            </w:r>
            <w:r>
              <w:t> </w:t>
            </w:r>
          </w:p>
        </w:tc>
        <w:tc>
          <w:tcPr>
            <w:tcW w:w="2316" w:type="dxa"/>
            <w:vMerge w:val="restart"/>
            <w:tcBorders>
              <w:top w:val="single" w:sz="8" w:space="0" w:color="auto"/>
              <w:left w:val="nil"/>
              <w:bottom w:val="single" w:sz="8" w:space="0" w:color="auto"/>
              <w:right w:val="single" w:sz="8" w:space="0" w:color="auto"/>
            </w:tcBorders>
          </w:tcPr>
          <w:p w:rsidR="00746EBB" w:rsidRDefault="00746EBB" w:rsidP="006D4A4E">
            <w:pPr>
              <w:spacing w:line="600" w:lineRule="exact"/>
              <w:jc w:val="center"/>
              <w:rPr>
                <w:rFonts w:ascii="楷体_GB2312" w:eastAsia="楷体_GB2312"/>
                <w:sz w:val="36"/>
                <w:szCs w:val="36"/>
              </w:rPr>
            </w:pPr>
          </w:p>
        </w:tc>
        <w:tc>
          <w:tcPr>
            <w:tcW w:w="5016" w:type="dxa"/>
            <w:gridSpan w:val="2"/>
            <w:tcBorders>
              <w:top w:val="single" w:sz="8" w:space="0" w:color="auto"/>
              <w:left w:val="nil"/>
              <w:bottom w:val="single" w:sz="8" w:space="0" w:color="auto"/>
              <w:right w:val="nil"/>
            </w:tcBorders>
            <w:vAlign w:val="center"/>
            <w:hideMark/>
          </w:tcPr>
          <w:p w:rsidR="00746EBB" w:rsidRDefault="00746EBB" w:rsidP="006D4A4E">
            <w:pPr>
              <w:spacing w:line="600" w:lineRule="exact"/>
              <w:rPr>
                <w:rFonts w:ascii="楷体_GB2312" w:eastAsia="楷体_GB2312"/>
                <w:sz w:val="36"/>
                <w:szCs w:val="36"/>
              </w:rPr>
            </w:pPr>
            <w:r>
              <w:rPr>
                <w:rFonts w:ascii="楷体_GB2312" w:eastAsia="楷体_GB2312" w:hint="eastAsia"/>
                <w:sz w:val="36"/>
                <w:szCs w:val="36"/>
              </w:rPr>
              <w:t>主办：</w:t>
            </w:r>
            <w:r>
              <w:t> </w:t>
            </w:r>
          </w:p>
        </w:tc>
      </w:tr>
      <w:tr w:rsidR="00746EBB" w:rsidTr="006D4A4E">
        <w:trPr>
          <w:cantSplit/>
          <w:trHeight w:val="907"/>
          <w:jc w:val="center"/>
        </w:trPr>
        <w:tc>
          <w:tcPr>
            <w:tcW w:w="9855" w:type="dxa"/>
            <w:vMerge/>
            <w:tcBorders>
              <w:top w:val="nil"/>
              <w:left w:val="nil"/>
              <w:bottom w:val="single" w:sz="8" w:space="0" w:color="auto"/>
              <w:right w:val="single" w:sz="8" w:space="0" w:color="auto"/>
            </w:tcBorders>
            <w:vAlign w:val="center"/>
            <w:hideMark/>
          </w:tcPr>
          <w:p w:rsidR="00746EBB" w:rsidRDefault="00746EBB" w:rsidP="006D4A4E">
            <w:pPr>
              <w:widowControl/>
              <w:jc w:val="left"/>
              <w:rPr>
                <w:rFonts w:ascii="楷体_GB2312" w:eastAsia="楷体_GB2312"/>
                <w:sz w:val="36"/>
                <w:szCs w:val="36"/>
              </w:rPr>
            </w:pPr>
          </w:p>
        </w:tc>
        <w:tc>
          <w:tcPr>
            <w:tcW w:w="7332" w:type="dxa"/>
            <w:vMerge/>
            <w:tcBorders>
              <w:top w:val="single" w:sz="8" w:space="0" w:color="auto"/>
              <w:left w:val="nil"/>
              <w:bottom w:val="single" w:sz="8" w:space="0" w:color="auto"/>
              <w:right w:val="single" w:sz="8" w:space="0" w:color="auto"/>
            </w:tcBorders>
            <w:vAlign w:val="center"/>
            <w:hideMark/>
          </w:tcPr>
          <w:p w:rsidR="00746EBB" w:rsidRDefault="00746EBB" w:rsidP="006D4A4E">
            <w:pPr>
              <w:widowControl/>
              <w:jc w:val="left"/>
              <w:rPr>
                <w:rFonts w:ascii="楷体_GB2312" w:eastAsia="楷体_GB2312"/>
                <w:sz w:val="36"/>
                <w:szCs w:val="36"/>
              </w:rPr>
            </w:pPr>
          </w:p>
        </w:tc>
        <w:tc>
          <w:tcPr>
            <w:tcW w:w="5016" w:type="dxa"/>
            <w:gridSpan w:val="2"/>
            <w:tcBorders>
              <w:top w:val="single" w:sz="8" w:space="0" w:color="auto"/>
              <w:left w:val="nil"/>
              <w:bottom w:val="single" w:sz="8" w:space="0" w:color="auto"/>
              <w:right w:val="nil"/>
            </w:tcBorders>
            <w:vAlign w:val="center"/>
            <w:hideMark/>
          </w:tcPr>
          <w:p w:rsidR="00746EBB" w:rsidRDefault="00746EBB" w:rsidP="006D4A4E">
            <w:pPr>
              <w:spacing w:line="600" w:lineRule="exact"/>
              <w:rPr>
                <w:rFonts w:ascii="楷体_GB2312" w:eastAsia="楷体_GB2312"/>
                <w:sz w:val="36"/>
                <w:szCs w:val="36"/>
              </w:rPr>
            </w:pPr>
            <w:r>
              <w:rPr>
                <w:rFonts w:ascii="楷体_GB2312" w:eastAsia="楷体_GB2312" w:hint="eastAsia"/>
                <w:sz w:val="36"/>
                <w:szCs w:val="36"/>
              </w:rPr>
              <w:t>会办：</w:t>
            </w:r>
            <w:r>
              <w:t> </w:t>
            </w:r>
          </w:p>
        </w:tc>
      </w:tr>
    </w:tbl>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40" w:lineRule="exact"/>
        <w:ind w:firstLineChars="1550" w:firstLine="5580"/>
        <w:rPr>
          <w:rFonts w:ascii="楷体_GB2312" w:eastAsia="楷体_GB2312" w:hint="eastAsia"/>
          <w:sz w:val="36"/>
          <w:szCs w:val="36"/>
        </w:rPr>
      </w:pPr>
      <w:r>
        <w:rPr>
          <w:rFonts w:ascii="楷体_GB2312" w:eastAsia="楷体_GB2312" w:hint="eastAsia"/>
          <w:sz w:val="36"/>
          <w:szCs w:val="36"/>
        </w:rPr>
        <w:t xml:space="preserve"> </w:t>
      </w:r>
      <w:r>
        <w:t xml:space="preserve"> </w:t>
      </w:r>
    </w:p>
    <w:p w:rsidR="00746EBB" w:rsidRDefault="00746EBB" w:rsidP="00746EBB">
      <w:pPr>
        <w:spacing w:line="560" w:lineRule="exact"/>
        <w:ind w:firstLineChars="1600" w:firstLine="5760"/>
        <w:rPr>
          <w:rFonts w:ascii="楷体_GB2312" w:eastAsia="楷体_GB2312" w:hint="eastAsia"/>
          <w:sz w:val="36"/>
          <w:szCs w:val="36"/>
        </w:rPr>
      </w:pPr>
      <w:r>
        <w:rPr>
          <w:rFonts w:ascii="楷体_GB2312" w:eastAsia="楷体_GB2312" w:hint="eastAsia"/>
          <w:sz w:val="36"/>
          <w:szCs w:val="36"/>
        </w:rPr>
        <w:t>二</w:t>
      </w:r>
      <w:r>
        <w:rPr>
          <w:rFonts w:eastAsia="楷体_GB2312"/>
          <w:sz w:val="36"/>
          <w:szCs w:val="36"/>
        </w:rPr>
        <w:t xml:space="preserve">O    </w:t>
      </w:r>
      <w:r>
        <w:rPr>
          <w:rFonts w:ascii="楷体_GB2312" w:eastAsia="楷体_GB2312" w:hint="eastAsia"/>
          <w:sz w:val="36"/>
          <w:szCs w:val="36"/>
        </w:rPr>
        <w:t>年 月 日</w:t>
      </w:r>
      <w:r>
        <w:t xml:space="preserve"> </w:t>
      </w:r>
    </w:p>
    <w:p w:rsidR="00746EBB" w:rsidRDefault="00746EBB" w:rsidP="00746EBB">
      <w:pPr>
        <w:spacing w:line="40" w:lineRule="exact"/>
        <w:rPr>
          <w:rFonts w:ascii="黑体" w:eastAsia="黑体" w:hAnsi="宋体" w:hint="eastAsia"/>
          <w:sz w:val="36"/>
          <w:szCs w:val="36"/>
        </w:rPr>
      </w:pPr>
      <w:r>
        <w:rPr>
          <w:rFonts w:ascii="黑体" w:eastAsia="黑体" w:hAnsi="宋体" w:hint="eastAsia"/>
          <w:sz w:val="36"/>
          <w:szCs w:val="36"/>
        </w:rPr>
        <w:t xml:space="preserve"> </w:t>
      </w:r>
      <w:r>
        <w:t xml:space="preserve"> </w:t>
      </w:r>
    </w:p>
    <w:tbl>
      <w:tblPr>
        <w:tblW w:w="9180" w:type="dxa"/>
        <w:jc w:val="center"/>
        <w:tblLayout w:type="fixed"/>
        <w:tblLook w:val="04A0" w:firstRow="1" w:lastRow="0" w:firstColumn="1" w:lastColumn="0" w:noHBand="0" w:noVBand="1"/>
      </w:tblPr>
      <w:tblGrid>
        <w:gridCol w:w="9180"/>
      </w:tblGrid>
      <w:tr w:rsidR="00746EBB" w:rsidTr="006D4A4E">
        <w:trPr>
          <w:trHeight w:val="13061"/>
          <w:jc w:val="center"/>
        </w:trPr>
        <w:tc>
          <w:tcPr>
            <w:tcW w:w="9175" w:type="dxa"/>
            <w:tcBorders>
              <w:top w:val="single" w:sz="8" w:space="0" w:color="auto"/>
              <w:left w:val="single" w:sz="8" w:space="0" w:color="auto"/>
              <w:bottom w:val="single" w:sz="8" w:space="0" w:color="auto"/>
              <w:right w:val="single" w:sz="8" w:space="0" w:color="auto"/>
            </w:tcBorders>
          </w:tcPr>
          <w:p w:rsidR="00746EBB" w:rsidRDefault="00746EBB" w:rsidP="006D4A4E">
            <w:pPr>
              <w:spacing w:line="560" w:lineRule="exact"/>
            </w:pPr>
            <w:r>
              <w:rPr>
                <w:rFonts w:ascii="黑体" w:eastAsia="黑体" w:hAnsi="宋体" w:hint="eastAsia"/>
                <w:sz w:val="36"/>
                <w:szCs w:val="36"/>
              </w:rPr>
              <w:lastRenderedPageBreak/>
              <w:t>内容：</w:t>
            </w:r>
            <w:r>
              <w:t> </w:t>
            </w:r>
          </w:p>
          <w:p w:rsidR="00746EBB" w:rsidRDefault="00746EBB" w:rsidP="006D4A4E">
            <w:pPr>
              <w:spacing w:line="560" w:lineRule="exact"/>
              <w:ind w:firstLineChars="200" w:firstLine="560"/>
              <w:rPr>
                <w:rFonts w:ascii="宋体" w:hAnsi="宋体"/>
                <w:sz w:val="28"/>
                <w:szCs w:val="28"/>
              </w:rPr>
            </w:pPr>
            <w:r>
              <w:rPr>
                <w:rFonts w:ascii="宋体" w:hAnsi="宋体" w:hint="eastAsia"/>
                <w:sz w:val="28"/>
                <w:szCs w:val="28"/>
              </w:rPr>
              <w:t>民营经济是绍兴经济发展的主力军。2019年，我市民营企业总数11.7万户，占全市法人企业总数的98％。对绍兴来说，民营经济强则绍兴强，民营经济稳则绍兴稳。近年来，市委、市政府切实加强法治绍兴建设，毫不动摇优化经济发展环境，为民营经济健康发展营造了良好的法治环境。但对标上级要求，我市还存在一些差距。这些差距主要有：</w:t>
            </w:r>
            <w:r>
              <w:rPr>
                <w:rFonts w:ascii="宋体" w:hAnsi="宋体" w:hint="eastAsia"/>
                <w:sz w:val="28"/>
                <w:szCs w:val="28"/>
              </w:rPr>
              <w:br/>
              <w:t xml:space="preserve">  一是在政策法律制度体系上还存在差距。主要表现在：有些政府部门出台的政策未能找准企业的痛点、难点问题精准发力，存在“看得见、够不着”的现象。如财政专项资金支持民营经济发展的政策、对小</w:t>
            </w:r>
            <w:proofErr w:type="gramStart"/>
            <w:r>
              <w:rPr>
                <w:rFonts w:ascii="宋体" w:hAnsi="宋体" w:hint="eastAsia"/>
                <w:sz w:val="28"/>
                <w:szCs w:val="28"/>
              </w:rPr>
              <w:t>微企业</w:t>
            </w:r>
            <w:proofErr w:type="gramEnd"/>
            <w:r>
              <w:rPr>
                <w:rFonts w:ascii="宋体" w:hAnsi="宋体" w:hint="eastAsia"/>
                <w:sz w:val="28"/>
                <w:szCs w:val="28"/>
              </w:rPr>
              <w:t>的金融服务政等。涉及民营经济发展的地方性法规、规章的制定和修订还需进一步加强，如公平竞争、创新发展、知识产权保护等，急需规范和完善。</w:t>
            </w:r>
          </w:p>
          <w:p w:rsidR="00746EBB" w:rsidRDefault="00746EBB" w:rsidP="006D4A4E">
            <w:pPr>
              <w:spacing w:line="560" w:lineRule="exact"/>
              <w:ind w:firstLineChars="200" w:firstLine="560"/>
              <w:rPr>
                <w:rFonts w:ascii="宋体" w:hAnsi="宋体" w:hint="eastAsia"/>
                <w:sz w:val="28"/>
                <w:szCs w:val="28"/>
              </w:rPr>
            </w:pPr>
            <w:r>
              <w:rPr>
                <w:rFonts w:ascii="宋体" w:hAnsi="宋体" w:hint="eastAsia"/>
                <w:sz w:val="28"/>
                <w:szCs w:val="28"/>
              </w:rPr>
              <w:t>二是在严格履行执法监督职能上还存在差距。主要表现在：对违法违规行为监管不够到位，对不正当竞争活动查处不力，对知识产权保护力度不够。执法显失公平，滥用自由裁量权，办关系案、人情案等现象还不同程度存在着。司法审判和执行效率不高，特别是民营企业打官司难以及赢了官司输掉钱的现象仍比较突出。</w:t>
            </w:r>
            <w:r>
              <w:rPr>
                <w:rFonts w:ascii="宋体" w:hAnsi="宋体" w:hint="eastAsia"/>
                <w:sz w:val="28"/>
                <w:szCs w:val="28"/>
              </w:rPr>
              <w:br/>
              <w:t xml:space="preserve">  三是在增强企业法治能力方面还存在差距。主要表现在：市公共法律服务中心“一站式”窗口的作用未能得到充分发挥，存在服务范围有待拓展、人员的专业水平有待提升等问题。“谁执法、谁普法”责任制落实还不够到位，点对点普法宣传、法律体验等服务受众面较小，“抓大放小”的问题不同程度地存在着。</w:t>
            </w:r>
          </w:p>
          <w:p w:rsidR="00746EBB" w:rsidRDefault="00746EBB" w:rsidP="006D4A4E">
            <w:pPr>
              <w:spacing w:line="560" w:lineRule="exact"/>
              <w:ind w:firstLineChars="200" w:firstLine="560"/>
              <w:rPr>
                <w:rFonts w:ascii="宋体" w:hAnsi="宋体" w:hint="eastAsia"/>
                <w:sz w:val="28"/>
                <w:szCs w:val="28"/>
              </w:rPr>
            </w:pPr>
            <w:r>
              <w:rPr>
                <w:rFonts w:ascii="宋体" w:hAnsi="宋体" w:hint="eastAsia"/>
                <w:sz w:val="28"/>
                <w:szCs w:val="28"/>
              </w:rPr>
              <w:t>法治是最好的营商环境。只有在良好的法治环境下，遭受疫情连环冲击的民营企业才能更快走出困境，重新焕发勃勃生机。为此，提出以下对策建议：</w:t>
            </w:r>
          </w:p>
          <w:p w:rsidR="00746EBB" w:rsidRDefault="00746EBB" w:rsidP="006D4A4E">
            <w:pPr>
              <w:spacing w:line="560" w:lineRule="exact"/>
              <w:ind w:firstLineChars="200" w:firstLine="560"/>
              <w:rPr>
                <w:rFonts w:ascii="宋体" w:hAnsi="宋体" w:hint="eastAsia"/>
                <w:sz w:val="28"/>
                <w:szCs w:val="28"/>
              </w:rPr>
            </w:pPr>
            <w:r>
              <w:rPr>
                <w:rFonts w:ascii="宋体" w:hAnsi="宋体" w:hint="eastAsia"/>
                <w:sz w:val="28"/>
                <w:szCs w:val="28"/>
              </w:rPr>
              <w:t>一、健全政策法律制度体系，切实提升企业的获得感</w:t>
            </w:r>
          </w:p>
          <w:p w:rsidR="00746EBB" w:rsidRDefault="00746EBB" w:rsidP="006D4A4E">
            <w:pPr>
              <w:spacing w:line="560" w:lineRule="exact"/>
              <w:ind w:firstLineChars="200" w:firstLine="560"/>
              <w:rPr>
                <w:rFonts w:ascii="宋体" w:hAnsi="宋体" w:hint="eastAsia"/>
                <w:sz w:val="28"/>
                <w:szCs w:val="28"/>
              </w:rPr>
            </w:pPr>
            <w:r>
              <w:rPr>
                <w:rFonts w:ascii="宋体" w:hAnsi="宋体" w:hint="eastAsia"/>
                <w:sz w:val="28"/>
                <w:szCs w:val="28"/>
              </w:rPr>
              <w:t>一是完善各项政策措施。结合我市实际，针对目前民营企业发展中遇</w:t>
            </w:r>
            <w:r>
              <w:rPr>
                <w:rFonts w:ascii="宋体" w:hAnsi="宋体" w:hint="eastAsia"/>
                <w:sz w:val="28"/>
                <w:szCs w:val="28"/>
              </w:rPr>
              <w:lastRenderedPageBreak/>
              <w:t>到的难点、痛点问题，进一步细化支持民营经济发展的各项政策措施，并使各</w:t>
            </w:r>
            <w:proofErr w:type="gramStart"/>
            <w:r>
              <w:rPr>
                <w:rFonts w:ascii="宋体" w:hAnsi="宋体" w:hint="eastAsia"/>
                <w:sz w:val="28"/>
                <w:szCs w:val="28"/>
              </w:rPr>
              <w:t>类政策</w:t>
            </w:r>
            <w:proofErr w:type="gramEnd"/>
            <w:r>
              <w:rPr>
                <w:rFonts w:ascii="宋体" w:hAnsi="宋体" w:hint="eastAsia"/>
                <w:sz w:val="28"/>
                <w:szCs w:val="28"/>
              </w:rPr>
              <w:t>严格依法精准可行。二是全面清理各项涉企政策。按照</w:t>
            </w:r>
            <w:proofErr w:type="gramStart"/>
            <w:r>
              <w:rPr>
                <w:rFonts w:ascii="宋体" w:hAnsi="宋体" w:hint="eastAsia"/>
                <w:sz w:val="28"/>
                <w:szCs w:val="28"/>
              </w:rPr>
              <w:t>”</w:t>
            </w:r>
            <w:proofErr w:type="gramEnd"/>
            <w:r>
              <w:rPr>
                <w:rFonts w:ascii="宋体" w:hAnsi="宋体" w:hint="eastAsia"/>
                <w:sz w:val="28"/>
                <w:szCs w:val="28"/>
              </w:rPr>
              <w:t>谁拟定、谁清理</w:t>
            </w:r>
            <w:proofErr w:type="gramStart"/>
            <w:r>
              <w:rPr>
                <w:rFonts w:ascii="宋体" w:hAnsi="宋体" w:hint="eastAsia"/>
                <w:sz w:val="28"/>
                <w:szCs w:val="28"/>
              </w:rPr>
              <w:t>”</w:t>
            </w:r>
            <w:proofErr w:type="gramEnd"/>
            <w:r>
              <w:rPr>
                <w:rFonts w:ascii="宋体" w:hAnsi="宋体" w:hint="eastAsia"/>
                <w:sz w:val="28"/>
                <w:szCs w:val="28"/>
              </w:rPr>
              <w:t>的原则，及时对有悖于平等保护、公平竞争和不利于民营经济健康发展的政策法律制度进行全面清理和修订，避免新旧政策相互打架。三是加快推进涉及民营经济发展地方性法规、规章的制定，健全促进民营经济发展的地方性法规和规章体系，着力营造公平开放透明法治的市场环境。</w:t>
            </w:r>
          </w:p>
          <w:p w:rsidR="00746EBB" w:rsidRDefault="00746EBB" w:rsidP="006D4A4E">
            <w:pPr>
              <w:numPr>
                <w:ilvl w:val="0"/>
                <w:numId w:val="1"/>
              </w:numPr>
              <w:spacing w:line="560" w:lineRule="exact"/>
              <w:ind w:firstLineChars="200" w:firstLine="560"/>
              <w:rPr>
                <w:rFonts w:ascii="宋体" w:hAnsi="宋体" w:hint="eastAsia"/>
                <w:sz w:val="28"/>
                <w:szCs w:val="28"/>
              </w:rPr>
            </w:pPr>
            <w:r>
              <w:rPr>
                <w:rFonts w:ascii="宋体" w:hAnsi="宋体" w:hint="eastAsia"/>
                <w:sz w:val="28"/>
                <w:szCs w:val="28"/>
              </w:rPr>
              <w:t>推动规范公正文明执法监督，切实强化法治保障。一是进一步细化、量化行政执法自由裁量权。对法律、法规和规章中带有行政处罚裁量的条款，依法进行重新清理，分类分项细化、量化裁量标准，增强科学性和操作性，减少随意性，确保公正执法。二要实施公平统一的市场监管制度。要严格落实“双随机、</w:t>
            </w:r>
            <w:proofErr w:type="gramStart"/>
            <w:r>
              <w:rPr>
                <w:rFonts w:ascii="宋体" w:hAnsi="宋体" w:hint="eastAsia"/>
                <w:sz w:val="28"/>
                <w:szCs w:val="28"/>
              </w:rPr>
              <w:t>一</w:t>
            </w:r>
            <w:proofErr w:type="gramEnd"/>
            <w:r>
              <w:rPr>
                <w:rFonts w:ascii="宋体" w:hAnsi="宋体" w:hint="eastAsia"/>
                <w:sz w:val="28"/>
                <w:szCs w:val="28"/>
              </w:rPr>
              <w:t>公开”监管工作机制，推行信用监管、“互联网+监管”改革，切实增强行政执法工作的法治化、规范化和透明化，坚决避免人情监管、暗箱操作等现象。三是依法保护民营企业合法权益和民营企业家人身财产安全。对侵犯民营企业知识产权、损害民营企业信誉的违法行为，要及时予以纠正。对民营企业和人员的一般违法行为，慎用查封、扣押、冻结等措施。严格区分企业财产和企业家个人财产、违法所得和合法财产、涉案人员个人财产和家庭成员财产，让企业家卸下包袱，安心经营。</w:t>
            </w:r>
          </w:p>
          <w:p w:rsidR="00746EBB" w:rsidRDefault="00746EBB" w:rsidP="006D4A4E">
            <w:pPr>
              <w:spacing w:line="560" w:lineRule="exact"/>
              <w:ind w:firstLineChars="200" w:firstLine="560"/>
              <w:rPr>
                <w:rFonts w:ascii="宋体" w:hAnsi="宋体" w:hint="eastAsia"/>
                <w:sz w:val="28"/>
                <w:szCs w:val="28"/>
              </w:rPr>
            </w:pPr>
            <w:r>
              <w:rPr>
                <w:rFonts w:ascii="宋体" w:hAnsi="宋体" w:hint="eastAsia"/>
                <w:sz w:val="28"/>
                <w:szCs w:val="28"/>
              </w:rPr>
              <w:t>三、整合多方服务资源，切实提高法律服务水平。一要充分发挥市公共法律服务中心“一站式”窗口的作用。优化服务内容，增加资金投入，提高服务人员专业素养和服务质量，切实降低民营企业寻求法律服务的成本。二要建立“谁主管谁普法、谁执法谁普法”工作长效机制。加强对财政、税务、环保、知识产权、安全生产、劳动合同等重点法律法规的普法宣传，增强企业的法治意识，提高企业的法治水平。三要定期开展受众面更广的法治体检服务。由司法局牵头，</w:t>
            </w:r>
            <w:proofErr w:type="gramStart"/>
            <w:r>
              <w:rPr>
                <w:rFonts w:ascii="宋体" w:hAnsi="宋体" w:hint="eastAsia"/>
                <w:sz w:val="28"/>
                <w:szCs w:val="28"/>
              </w:rPr>
              <w:t>整合市</w:t>
            </w:r>
            <w:proofErr w:type="gramEnd"/>
            <w:r>
              <w:rPr>
                <w:rFonts w:ascii="宋体" w:hAnsi="宋体" w:hint="eastAsia"/>
                <w:sz w:val="28"/>
                <w:szCs w:val="28"/>
              </w:rPr>
              <w:t>公共法律服务中心、绍兴</w:t>
            </w:r>
            <w:proofErr w:type="gramStart"/>
            <w:r>
              <w:rPr>
                <w:rFonts w:ascii="宋体" w:hAnsi="宋体" w:hint="eastAsia"/>
                <w:sz w:val="28"/>
                <w:szCs w:val="28"/>
              </w:rPr>
              <w:t>律</w:t>
            </w:r>
            <w:r>
              <w:rPr>
                <w:rFonts w:ascii="宋体" w:hAnsi="宋体" w:hint="eastAsia"/>
                <w:sz w:val="28"/>
                <w:szCs w:val="28"/>
              </w:rPr>
              <w:lastRenderedPageBreak/>
              <w:t>师公益</w:t>
            </w:r>
            <w:proofErr w:type="gramEnd"/>
            <w:r>
              <w:rPr>
                <w:rFonts w:ascii="宋体" w:hAnsi="宋体" w:hint="eastAsia"/>
                <w:sz w:val="28"/>
                <w:szCs w:val="28"/>
              </w:rPr>
              <w:t>服务团、绍兴市民营企业律师服务团及其</w:t>
            </w:r>
            <w:proofErr w:type="gramStart"/>
            <w:r>
              <w:rPr>
                <w:rFonts w:ascii="宋体" w:hAnsi="宋体" w:hint="eastAsia"/>
                <w:sz w:val="28"/>
                <w:szCs w:val="28"/>
              </w:rPr>
              <w:t>他律师</w:t>
            </w:r>
            <w:proofErr w:type="gramEnd"/>
            <w:r>
              <w:rPr>
                <w:rFonts w:ascii="宋体" w:hAnsi="宋体" w:hint="eastAsia"/>
                <w:sz w:val="28"/>
                <w:szCs w:val="28"/>
              </w:rPr>
              <w:t>志愿组织的力量，深入民营企业提供“一对一”的常态化、制度化的法治体检活动，了解企业生产经营和依法治理情况，分析企业法律需求和风险点，帮助查找制度漏洞和薄弱环节，帮助更多的民营企业有效预防和化解矛盾风险。</w:t>
            </w:r>
          </w:p>
          <w:p w:rsidR="00746EBB" w:rsidRDefault="00746EBB" w:rsidP="006D4A4E">
            <w:pPr>
              <w:pStyle w:val="a5"/>
              <w:rPr>
                <w:rFonts w:cs="Times New Roman" w:hint="eastAsia"/>
              </w:rPr>
            </w:pPr>
          </w:p>
          <w:p w:rsidR="00746EBB" w:rsidRDefault="00746EBB" w:rsidP="006D4A4E">
            <w:pPr>
              <w:spacing w:line="440" w:lineRule="exact"/>
              <w:rPr>
                <w:rFonts w:ascii="仿宋_GB2312" w:eastAsia="仿宋_GB2312"/>
                <w:sz w:val="28"/>
                <w:szCs w:val="28"/>
              </w:rPr>
            </w:pPr>
            <w:r>
              <w:rPr>
                <w:rFonts w:ascii="仿宋_GB2312" w:eastAsia="仿宋_GB2312" w:hint="eastAsia"/>
                <w:sz w:val="28"/>
                <w:szCs w:val="28"/>
              </w:rPr>
              <w:t xml:space="preserve">     </w:t>
            </w:r>
            <w:r>
              <w:t> </w:t>
            </w:r>
          </w:p>
        </w:tc>
      </w:tr>
    </w:tbl>
    <w:p w:rsidR="00746EBB" w:rsidRDefault="00746EBB" w:rsidP="00746EBB">
      <w:pPr>
        <w:rPr>
          <w:rFonts w:hint="eastAsia"/>
          <w:sz w:val="24"/>
          <w:szCs w:val="24"/>
        </w:rPr>
      </w:pPr>
      <w:r>
        <w:rPr>
          <w:sz w:val="24"/>
          <w:szCs w:val="24"/>
        </w:rPr>
        <w:lastRenderedPageBreak/>
        <w:t xml:space="preserve"> </w:t>
      </w:r>
    </w:p>
    <w:p w:rsidR="00D46B9D" w:rsidRPr="00746EBB" w:rsidRDefault="00D46B9D">
      <w:bookmarkStart w:id="0" w:name="_GoBack"/>
      <w:bookmarkEnd w:id="0"/>
    </w:p>
    <w:sectPr w:rsidR="00D46B9D" w:rsidRPr="00746EBB">
      <w:pgSz w:w="11907" w:h="16840"/>
      <w:pgMar w:top="1077" w:right="1134" w:bottom="107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7B" w:rsidRDefault="0095567B" w:rsidP="00746EBB">
      <w:r>
        <w:separator/>
      </w:r>
    </w:p>
  </w:endnote>
  <w:endnote w:type="continuationSeparator" w:id="0">
    <w:p w:rsidR="0095567B" w:rsidRDefault="0095567B" w:rsidP="00746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7B" w:rsidRDefault="0095567B" w:rsidP="00746EBB">
      <w:r>
        <w:separator/>
      </w:r>
    </w:p>
  </w:footnote>
  <w:footnote w:type="continuationSeparator" w:id="0">
    <w:p w:rsidR="0095567B" w:rsidRDefault="0095567B" w:rsidP="00746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DE5531"/>
    <w:multiLevelType w:val="multilevel"/>
    <w:tmpl w:val="16AE92B0"/>
    <w:lvl w:ilvl="0">
      <w:start w:val="2"/>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0D9"/>
    <w:rsid w:val="004700D9"/>
    <w:rsid w:val="00746EBB"/>
    <w:rsid w:val="0095567B"/>
    <w:rsid w:val="00D46B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B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EBB"/>
    <w:rPr>
      <w:sz w:val="18"/>
      <w:szCs w:val="18"/>
    </w:rPr>
  </w:style>
  <w:style w:type="paragraph" w:styleId="a4">
    <w:name w:val="footer"/>
    <w:basedOn w:val="a"/>
    <w:link w:val="Char0"/>
    <w:uiPriority w:val="99"/>
    <w:unhideWhenUsed/>
    <w:rsid w:val="00746EBB"/>
    <w:pPr>
      <w:tabs>
        <w:tab w:val="center" w:pos="4153"/>
        <w:tab w:val="right" w:pos="8306"/>
      </w:tabs>
      <w:snapToGrid w:val="0"/>
      <w:jc w:val="left"/>
    </w:pPr>
    <w:rPr>
      <w:sz w:val="18"/>
      <w:szCs w:val="18"/>
    </w:rPr>
  </w:style>
  <w:style w:type="character" w:customStyle="1" w:styleId="Char0">
    <w:name w:val="页脚 Char"/>
    <w:basedOn w:val="a0"/>
    <w:link w:val="a4"/>
    <w:uiPriority w:val="99"/>
    <w:rsid w:val="00746EBB"/>
    <w:rPr>
      <w:sz w:val="18"/>
      <w:szCs w:val="18"/>
    </w:rPr>
  </w:style>
  <w:style w:type="paragraph" w:styleId="a5">
    <w:name w:val="Normal (Web)"/>
    <w:basedOn w:val="a"/>
    <w:rsid w:val="00746EBB"/>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EBB"/>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46EB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46EBB"/>
    <w:rPr>
      <w:sz w:val="18"/>
      <w:szCs w:val="18"/>
    </w:rPr>
  </w:style>
  <w:style w:type="paragraph" w:styleId="a4">
    <w:name w:val="footer"/>
    <w:basedOn w:val="a"/>
    <w:link w:val="Char0"/>
    <w:uiPriority w:val="99"/>
    <w:unhideWhenUsed/>
    <w:rsid w:val="00746EBB"/>
    <w:pPr>
      <w:tabs>
        <w:tab w:val="center" w:pos="4153"/>
        <w:tab w:val="right" w:pos="8306"/>
      </w:tabs>
      <w:snapToGrid w:val="0"/>
      <w:jc w:val="left"/>
    </w:pPr>
    <w:rPr>
      <w:sz w:val="18"/>
      <w:szCs w:val="18"/>
    </w:rPr>
  </w:style>
  <w:style w:type="character" w:customStyle="1" w:styleId="Char0">
    <w:name w:val="页脚 Char"/>
    <w:basedOn w:val="a0"/>
    <w:link w:val="a4"/>
    <w:uiPriority w:val="99"/>
    <w:rsid w:val="00746EBB"/>
    <w:rPr>
      <w:sz w:val="18"/>
      <w:szCs w:val="18"/>
    </w:rPr>
  </w:style>
  <w:style w:type="paragraph" w:styleId="a5">
    <w:name w:val="Normal (Web)"/>
    <w:basedOn w:val="a"/>
    <w:rsid w:val="00746EBB"/>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282</Words>
  <Characters>1609</Characters>
  <Application>Microsoft Office Word</Application>
  <DocSecurity>0</DocSecurity>
  <Lines>13</Lines>
  <Paragraphs>3</Paragraphs>
  <ScaleCrop>false</ScaleCrop>
  <Company>Microsoft</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田玲燕</dc:creator>
  <cp:keywords/>
  <dc:description/>
  <cp:lastModifiedBy>田玲燕</cp:lastModifiedBy>
  <cp:revision>2</cp:revision>
  <dcterms:created xsi:type="dcterms:W3CDTF">2020-09-15T08:01:00Z</dcterms:created>
  <dcterms:modified xsi:type="dcterms:W3CDTF">2020-09-15T08:01:00Z</dcterms:modified>
</cp:coreProperties>
</file>