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A9" w:rsidRDefault="006608A9" w:rsidP="006608A9">
      <w:pPr>
        <w:wordWrap w:val="0"/>
        <w:spacing w:line="100" w:lineRule="exact"/>
        <w:jc w:val="right"/>
        <w:rPr>
          <w:rFonts w:ascii="楷体_GB2312" w:eastAsia="楷体_GB2312"/>
          <w:sz w:val="37"/>
          <w:szCs w:val="37"/>
        </w:rPr>
      </w:pPr>
      <w:r>
        <w:rPr>
          <w:rFonts w:ascii="楷体_GB2312" w:eastAsia="楷体_GB2312" w:hint="eastAsia"/>
          <w:sz w:val="37"/>
          <w:szCs w:val="37"/>
        </w:rPr>
        <w:t xml:space="preserve">     </w:t>
      </w:r>
      <w:r>
        <w:t xml:space="preserve"> </w:t>
      </w:r>
    </w:p>
    <w:p w:rsidR="006608A9" w:rsidRDefault="006608A9" w:rsidP="006608A9">
      <w:pPr>
        <w:wordWrap w:val="0"/>
        <w:jc w:val="right"/>
        <w:rPr>
          <w:rFonts w:ascii="楷体_GB2312" w:eastAsia="楷体_GB2312" w:hint="eastAsia"/>
          <w:sz w:val="37"/>
          <w:szCs w:val="37"/>
        </w:rPr>
      </w:pPr>
      <w:r>
        <w:rPr>
          <w:rFonts w:ascii="楷体_GB2312" w:eastAsia="楷体_GB2312" w:hint="eastAsia"/>
          <w:sz w:val="37"/>
          <w:szCs w:val="37"/>
        </w:rPr>
        <w:t>第</w:t>
      </w:r>
      <w:r>
        <w:rPr>
          <w:rFonts w:ascii="楷体_GB2312" w:eastAsia="楷体_GB2312" w:hint="eastAsia"/>
          <w:sz w:val="37"/>
          <w:szCs w:val="37"/>
          <w:u w:val="single"/>
        </w:rPr>
        <w:t xml:space="preserve">  162  </w:t>
      </w:r>
      <w:r>
        <w:rPr>
          <w:rFonts w:ascii="楷体_GB2312" w:eastAsia="楷体_GB2312" w:hint="eastAsia"/>
          <w:sz w:val="37"/>
          <w:szCs w:val="37"/>
        </w:rPr>
        <w:t>号</w:t>
      </w:r>
      <w:r>
        <w:t xml:space="preserve"> </w:t>
      </w:r>
    </w:p>
    <w:p w:rsidR="006608A9" w:rsidRDefault="006608A9" w:rsidP="006608A9">
      <w:pPr>
        <w:wordWrap w:val="0"/>
        <w:jc w:val="right"/>
        <w:rPr>
          <w:rFonts w:ascii="楷体_GB2312" w:eastAsia="楷体_GB2312" w:hint="eastAsia"/>
          <w:sz w:val="40"/>
          <w:szCs w:val="40"/>
        </w:rPr>
      </w:pPr>
      <w:r>
        <w:rPr>
          <w:rFonts w:ascii="楷体_GB2312" w:eastAsia="楷体_GB2312" w:hint="eastAsia"/>
          <w:sz w:val="37"/>
          <w:szCs w:val="37"/>
        </w:rPr>
        <w:t xml:space="preserve">     第</w:t>
      </w:r>
      <w:r>
        <w:rPr>
          <w:rFonts w:ascii="楷体_GB2312" w:eastAsia="楷体_GB2312" w:hint="eastAsia"/>
          <w:sz w:val="37"/>
          <w:szCs w:val="37"/>
          <w:u w:val="single"/>
        </w:rPr>
        <w:t xml:space="preserve">  </w:t>
      </w:r>
      <w:r>
        <w:rPr>
          <w:rFonts w:ascii="楷体_GB2312" w:eastAsia="楷体_GB2312" w:hint="eastAsia"/>
          <w:sz w:val="37"/>
          <w:szCs w:val="37"/>
        </w:rPr>
        <w:t>类</w:t>
      </w:r>
      <w:r>
        <w:t xml:space="preserve"> </w:t>
      </w:r>
    </w:p>
    <w:p w:rsidR="006608A9" w:rsidRDefault="006608A9" w:rsidP="006608A9">
      <w:pPr>
        <w:spacing w:line="880" w:lineRule="exact"/>
        <w:jc w:val="center"/>
        <w:rPr>
          <w:rFonts w:ascii="宋体" w:hAnsi="宋体" w:hint="eastAsia"/>
          <w:sz w:val="52"/>
          <w:szCs w:val="52"/>
        </w:rPr>
      </w:pPr>
      <w:r>
        <w:rPr>
          <w:rFonts w:ascii="宋体" w:hAnsi="宋体" w:hint="eastAsia"/>
          <w:sz w:val="52"/>
          <w:szCs w:val="52"/>
        </w:rPr>
        <w:t>中国人民政治协商会议绍兴市委员会</w:t>
      </w:r>
      <w:r>
        <w:t xml:space="preserve"> </w:t>
      </w:r>
    </w:p>
    <w:p w:rsidR="006608A9" w:rsidRDefault="006608A9" w:rsidP="006608A9">
      <w:pPr>
        <w:spacing w:line="900" w:lineRule="exact"/>
        <w:jc w:val="center"/>
        <w:rPr>
          <w:rFonts w:ascii="宋体" w:hAnsi="宋体" w:hint="eastAsia"/>
          <w:sz w:val="84"/>
          <w:szCs w:val="84"/>
        </w:rPr>
      </w:pPr>
      <w:r>
        <w:rPr>
          <w:rFonts w:ascii="宋体" w:hAnsi="宋体" w:hint="eastAsia"/>
          <w:sz w:val="84"/>
          <w:szCs w:val="84"/>
        </w:rPr>
        <w:t>提     案</w:t>
      </w:r>
      <w:r>
        <w:t xml:space="preserve"> </w:t>
      </w:r>
    </w:p>
    <w:p w:rsidR="006608A9" w:rsidRDefault="006608A9" w:rsidP="006608A9">
      <w:pPr>
        <w:spacing w:line="10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6608A9" w:rsidRDefault="006608A9" w:rsidP="006608A9">
      <w:pPr>
        <w:spacing w:line="24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6608A9" w:rsidRDefault="006608A9" w:rsidP="006608A9">
      <w:pPr>
        <w:rPr>
          <w:rFonts w:ascii="楷体_GB2312" w:eastAsia="楷体_GB2312" w:hint="eastAsia"/>
          <w:sz w:val="32"/>
          <w:szCs w:val="32"/>
        </w:rPr>
      </w:pPr>
      <w:r>
        <w:rPr>
          <w:rFonts w:ascii="楷体_GB2312" w:eastAsia="楷体_GB2312" w:hint="eastAsia"/>
          <w:sz w:val="37"/>
          <w:szCs w:val="37"/>
        </w:rPr>
        <w:t>案由</w:t>
      </w:r>
      <w:r>
        <w:rPr>
          <w:rFonts w:ascii="黑体" w:eastAsia="黑体" w:hAnsi="黑体" w:hint="eastAsia"/>
          <w:sz w:val="37"/>
          <w:szCs w:val="37"/>
        </w:rPr>
        <w:t>：</w:t>
      </w:r>
      <w:r>
        <w:rPr>
          <w:rFonts w:ascii="楷体_GB2312" w:eastAsia="楷体_GB2312" w:hint="eastAsia"/>
          <w:sz w:val="32"/>
          <w:szCs w:val="32"/>
        </w:rPr>
        <w:t xml:space="preserve"> 为民营企业提供精准及时的法律服务</w:t>
      </w:r>
      <w:r>
        <w:t xml:space="preserve"> </w:t>
      </w:r>
    </w:p>
    <w:p w:rsidR="006608A9" w:rsidRDefault="006608A9" w:rsidP="006608A9">
      <w:pPr>
        <w:spacing w:line="100" w:lineRule="exact"/>
        <w:rPr>
          <w:rFonts w:ascii="楷体_GB2312" w:eastAsia="楷体_GB2312" w:hint="eastAsia"/>
          <w:sz w:val="36"/>
          <w:szCs w:val="36"/>
        </w:rPr>
      </w:pPr>
      <w:r>
        <w:rPr>
          <w:rFonts w:ascii="楷体_GB2312" w:eastAsia="楷体_GB2312"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2523"/>
        <w:gridCol w:w="2316"/>
        <w:gridCol w:w="3794"/>
        <w:gridCol w:w="1222"/>
      </w:tblGrid>
      <w:tr w:rsidR="006608A9" w:rsidTr="006D4A4E">
        <w:trPr>
          <w:trHeight w:val="640"/>
          <w:jc w:val="center"/>
        </w:trPr>
        <w:tc>
          <w:tcPr>
            <w:tcW w:w="2523" w:type="dxa"/>
            <w:tcBorders>
              <w:top w:val="single" w:sz="8" w:space="0" w:color="auto"/>
              <w:left w:val="nil"/>
              <w:bottom w:val="single" w:sz="8" w:space="0" w:color="auto"/>
              <w:right w:val="single" w:sz="8" w:space="0" w:color="auto"/>
            </w:tcBorders>
            <w:vAlign w:val="center"/>
            <w:hideMark/>
          </w:tcPr>
          <w:p w:rsidR="006608A9" w:rsidRDefault="006608A9" w:rsidP="006D4A4E">
            <w:pPr>
              <w:spacing w:line="400" w:lineRule="exact"/>
              <w:jc w:val="center"/>
              <w:rPr>
                <w:rFonts w:ascii="楷体_GB2312" w:eastAsia="楷体_GB2312"/>
                <w:sz w:val="36"/>
                <w:szCs w:val="36"/>
              </w:rPr>
            </w:pPr>
            <w:r>
              <w:rPr>
                <w:rFonts w:ascii="楷体_GB2312" w:eastAsia="楷体_GB2312" w:hint="eastAsia"/>
                <w:sz w:val="36"/>
                <w:szCs w:val="36"/>
              </w:rPr>
              <w:t>提案人</w:t>
            </w:r>
            <w:r>
              <w:t> </w:t>
            </w:r>
          </w:p>
        </w:tc>
        <w:tc>
          <w:tcPr>
            <w:tcW w:w="2316" w:type="dxa"/>
            <w:tcBorders>
              <w:top w:val="single" w:sz="8" w:space="0" w:color="auto"/>
              <w:left w:val="nil"/>
              <w:bottom w:val="single" w:sz="8" w:space="0" w:color="auto"/>
              <w:right w:val="single" w:sz="8" w:space="0" w:color="auto"/>
            </w:tcBorders>
            <w:vAlign w:val="center"/>
            <w:hideMark/>
          </w:tcPr>
          <w:p w:rsidR="006608A9" w:rsidRDefault="006608A9" w:rsidP="006D4A4E">
            <w:pPr>
              <w:spacing w:line="400" w:lineRule="exact"/>
              <w:jc w:val="center"/>
              <w:rPr>
                <w:rFonts w:ascii="楷体_GB2312" w:eastAsia="楷体_GB2312"/>
                <w:sz w:val="36"/>
                <w:szCs w:val="36"/>
              </w:rPr>
            </w:pPr>
            <w:r>
              <w:rPr>
                <w:rFonts w:ascii="楷体_GB2312" w:eastAsia="楷体_GB2312" w:hint="eastAsia"/>
                <w:sz w:val="36"/>
                <w:szCs w:val="36"/>
              </w:rPr>
              <w:t>联系电话</w:t>
            </w:r>
            <w:r>
              <w:t> </w:t>
            </w:r>
          </w:p>
        </w:tc>
        <w:tc>
          <w:tcPr>
            <w:tcW w:w="3794" w:type="dxa"/>
            <w:tcBorders>
              <w:top w:val="single" w:sz="8" w:space="0" w:color="auto"/>
              <w:left w:val="nil"/>
              <w:bottom w:val="single" w:sz="8" w:space="0" w:color="auto"/>
              <w:right w:val="single" w:sz="8" w:space="0" w:color="auto"/>
            </w:tcBorders>
            <w:vAlign w:val="center"/>
            <w:hideMark/>
          </w:tcPr>
          <w:p w:rsidR="006608A9" w:rsidRDefault="006608A9" w:rsidP="006D4A4E">
            <w:pPr>
              <w:spacing w:line="560" w:lineRule="exact"/>
              <w:jc w:val="center"/>
              <w:rPr>
                <w:rFonts w:ascii="楷体_GB2312" w:eastAsia="楷体_GB2312"/>
                <w:sz w:val="36"/>
                <w:szCs w:val="36"/>
              </w:rPr>
            </w:pPr>
            <w:r>
              <w:rPr>
                <w:rFonts w:ascii="楷体_GB2312" w:eastAsia="楷体_GB2312" w:hint="eastAsia"/>
                <w:sz w:val="36"/>
                <w:szCs w:val="36"/>
              </w:rPr>
              <w:t>通 讯 地 址</w:t>
            </w:r>
            <w:r>
              <w:t> </w:t>
            </w:r>
          </w:p>
        </w:tc>
        <w:tc>
          <w:tcPr>
            <w:tcW w:w="1222" w:type="dxa"/>
            <w:tcBorders>
              <w:top w:val="single" w:sz="8" w:space="0" w:color="auto"/>
              <w:left w:val="nil"/>
              <w:bottom w:val="single" w:sz="8" w:space="0" w:color="auto"/>
              <w:right w:val="nil"/>
            </w:tcBorders>
            <w:vAlign w:val="center"/>
            <w:hideMark/>
          </w:tcPr>
          <w:p w:rsidR="006608A9" w:rsidRDefault="006608A9" w:rsidP="006D4A4E">
            <w:pPr>
              <w:spacing w:line="560" w:lineRule="exact"/>
              <w:jc w:val="center"/>
              <w:rPr>
                <w:rFonts w:ascii="楷体_GB2312" w:eastAsia="楷体_GB2312"/>
                <w:sz w:val="36"/>
                <w:szCs w:val="36"/>
              </w:rPr>
            </w:pPr>
            <w:r>
              <w:rPr>
                <w:rFonts w:ascii="楷体_GB2312" w:eastAsia="楷体_GB2312" w:hint="eastAsia"/>
                <w:sz w:val="36"/>
                <w:szCs w:val="36"/>
              </w:rPr>
              <w:t>邮 编</w:t>
            </w:r>
            <w:r>
              <w:t> </w:t>
            </w:r>
          </w:p>
        </w:tc>
      </w:tr>
      <w:tr w:rsidR="006608A9" w:rsidTr="006608A9">
        <w:trPr>
          <w:trHeight w:val="624"/>
          <w:jc w:val="center"/>
        </w:trPr>
        <w:tc>
          <w:tcPr>
            <w:tcW w:w="2523" w:type="dxa"/>
            <w:tcBorders>
              <w:top w:val="single" w:sz="8" w:space="0" w:color="auto"/>
              <w:left w:val="nil"/>
              <w:bottom w:val="single" w:sz="8" w:space="0" w:color="auto"/>
              <w:right w:val="single" w:sz="8" w:space="0" w:color="auto"/>
            </w:tcBorders>
            <w:hideMark/>
          </w:tcPr>
          <w:p w:rsidR="006608A9" w:rsidRDefault="006608A9" w:rsidP="006D4A4E">
            <w:pPr>
              <w:spacing w:line="560" w:lineRule="exact"/>
              <w:ind w:firstLineChars="200" w:firstLine="560"/>
              <w:rPr>
                <w:rFonts w:ascii="宋体" w:hAnsi="宋体"/>
                <w:sz w:val="28"/>
                <w:szCs w:val="28"/>
              </w:rPr>
            </w:pPr>
            <w:r>
              <w:rPr>
                <w:rFonts w:ascii="宋体" w:hAnsi="宋体" w:hint="eastAsia"/>
                <w:sz w:val="28"/>
                <w:szCs w:val="28"/>
              </w:rPr>
              <w:t>赵森林</w:t>
            </w:r>
            <w:r>
              <w:t> </w:t>
            </w: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宋体" w:hAnsi="宋体"/>
                <w:sz w:val="28"/>
                <w:szCs w:val="28"/>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28"/>
                <w:szCs w:val="28"/>
              </w:rPr>
            </w:pPr>
          </w:p>
        </w:tc>
      </w:tr>
      <w:tr w:rsidR="006608A9" w:rsidTr="006D4A4E">
        <w:trPr>
          <w:trHeight w:val="624"/>
          <w:jc w:val="center"/>
        </w:trPr>
        <w:tc>
          <w:tcPr>
            <w:tcW w:w="9855" w:type="dxa"/>
            <w:gridSpan w:val="4"/>
            <w:tcBorders>
              <w:top w:val="single" w:sz="8" w:space="0" w:color="auto"/>
              <w:left w:val="nil"/>
              <w:bottom w:val="single" w:sz="8" w:space="0" w:color="auto"/>
              <w:right w:val="nil"/>
            </w:tcBorders>
            <w:hideMark/>
          </w:tcPr>
          <w:p w:rsidR="006608A9" w:rsidRDefault="006608A9" w:rsidP="006D4A4E">
            <w:pPr>
              <w:spacing w:line="560" w:lineRule="exact"/>
              <w:ind w:firstLineChars="50" w:firstLine="180"/>
              <w:rPr>
                <w:rFonts w:ascii="方正小标宋简体" w:eastAsia="方正小标宋简体"/>
                <w:sz w:val="40"/>
                <w:szCs w:val="40"/>
              </w:rPr>
            </w:pPr>
            <w:r>
              <w:rPr>
                <w:rFonts w:ascii="楷体_GB2312" w:eastAsia="楷体_GB2312" w:hint="eastAsia"/>
                <w:sz w:val="36"/>
                <w:szCs w:val="36"/>
              </w:rPr>
              <w:t>附议人</w:t>
            </w:r>
            <w:r>
              <w:t> </w:t>
            </w:r>
          </w:p>
        </w:tc>
      </w:tr>
      <w:tr w:rsidR="006608A9" w:rsidTr="006608A9">
        <w:trPr>
          <w:trHeight w:val="624"/>
          <w:jc w:val="center"/>
        </w:trPr>
        <w:tc>
          <w:tcPr>
            <w:tcW w:w="2523" w:type="dxa"/>
            <w:tcBorders>
              <w:top w:val="single" w:sz="8" w:space="0" w:color="auto"/>
              <w:left w:val="nil"/>
              <w:bottom w:val="single" w:sz="8" w:space="0" w:color="auto"/>
              <w:right w:val="single" w:sz="8" w:space="0" w:color="auto"/>
            </w:tcBorders>
            <w:hideMark/>
          </w:tcPr>
          <w:p w:rsidR="006608A9" w:rsidRDefault="006608A9" w:rsidP="006D4A4E">
            <w:pPr>
              <w:spacing w:line="560" w:lineRule="exact"/>
              <w:ind w:firstLineChars="200" w:firstLine="560"/>
              <w:rPr>
                <w:rFonts w:ascii="宋体" w:hAnsi="宋体"/>
                <w:sz w:val="28"/>
                <w:szCs w:val="28"/>
              </w:rPr>
            </w:pPr>
            <w:r>
              <w:rPr>
                <w:rFonts w:ascii="宋体" w:hAnsi="宋体" w:hint="eastAsia"/>
                <w:sz w:val="28"/>
                <w:szCs w:val="28"/>
              </w:rPr>
              <w:t xml:space="preserve">孔琴娜 </w:t>
            </w: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rPr>
                <w:rFonts w:ascii="宋体" w:hAnsi="宋体"/>
                <w:sz w:val="28"/>
                <w:szCs w:val="28"/>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32"/>
                <w:szCs w:val="32"/>
              </w:rPr>
            </w:pPr>
          </w:p>
        </w:tc>
      </w:tr>
      <w:tr w:rsidR="006608A9" w:rsidTr="006608A9">
        <w:trPr>
          <w:trHeight w:val="624"/>
          <w:jc w:val="center"/>
        </w:trPr>
        <w:tc>
          <w:tcPr>
            <w:tcW w:w="2523" w:type="dxa"/>
            <w:tcBorders>
              <w:top w:val="single" w:sz="8" w:space="0" w:color="auto"/>
              <w:left w:val="nil"/>
              <w:bottom w:val="single" w:sz="8" w:space="0" w:color="auto"/>
              <w:right w:val="single" w:sz="8" w:space="0" w:color="auto"/>
            </w:tcBorders>
            <w:hideMark/>
          </w:tcPr>
          <w:p w:rsidR="006608A9" w:rsidRDefault="006608A9" w:rsidP="006D4A4E">
            <w:pPr>
              <w:spacing w:line="560" w:lineRule="exact"/>
              <w:ind w:firstLineChars="200" w:firstLine="560"/>
              <w:rPr>
                <w:rFonts w:ascii="宋体" w:hAnsi="宋体"/>
                <w:sz w:val="28"/>
                <w:szCs w:val="28"/>
              </w:rPr>
            </w:pPr>
            <w:proofErr w:type="gramStart"/>
            <w:r>
              <w:rPr>
                <w:rFonts w:ascii="宋体" w:hAnsi="宋体" w:hint="eastAsia"/>
                <w:sz w:val="28"/>
                <w:szCs w:val="28"/>
              </w:rPr>
              <w:t>楼宝良</w:t>
            </w:r>
            <w:proofErr w:type="gramEnd"/>
            <w:r>
              <w:rPr>
                <w:rFonts w:ascii="宋体" w:hAnsi="宋体" w:hint="eastAsia"/>
                <w:sz w:val="28"/>
                <w:szCs w:val="28"/>
              </w:rPr>
              <w:t xml:space="preserve"> </w:t>
            </w: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rPr>
                <w:rFonts w:ascii="宋体" w:hAnsi="宋体"/>
                <w:sz w:val="28"/>
                <w:szCs w:val="28"/>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32"/>
                <w:szCs w:val="32"/>
              </w:rPr>
            </w:pPr>
          </w:p>
        </w:tc>
      </w:tr>
      <w:tr w:rsidR="006608A9" w:rsidTr="006D4A4E">
        <w:trPr>
          <w:trHeight w:val="624"/>
          <w:jc w:val="center"/>
        </w:trPr>
        <w:tc>
          <w:tcPr>
            <w:tcW w:w="2523"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32"/>
                <w:szCs w:val="32"/>
              </w:rPr>
            </w:pPr>
          </w:p>
        </w:tc>
      </w:tr>
      <w:tr w:rsidR="006608A9" w:rsidTr="006D4A4E">
        <w:trPr>
          <w:trHeight w:val="624"/>
          <w:jc w:val="center"/>
        </w:trPr>
        <w:tc>
          <w:tcPr>
            <w:tcW w:w="2523"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32"/>
                <w:szCs w:val="32"/>
              </w:rPr>
            </w:pPr>
          </w:p>
        </w:tc>
      </w:tr>
      <w:tr w:rsidR="006608A9" w:rsidTr="006D4A4E">
        <w:trPr>
          <w:trHeight w:val="624"/>
          <w:jc w:val="center"/>
        </w:trPr>
        <w:tc>
          <w:tcPr>
            <w:tcW w:w="2523"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6608A9" w:rsidRDefault="006608A9"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6608A9" w:rsidRDefault="006608A9" w:rsidP="006D4A4E">
            <w:pPr>
              <w:spacing w:line="560" w:lineRule="exact"/>
              <w:jc w:val="center"/>
              <w:rPr>
                <w:rFonts w:ascii="仿宋_GB2312" w:eastAsia="仿宋_GB2312"/>
                <w:sz w:val="32"/>
                <w:szCs w:val="32"/>
              </w:rPr>
            </w:pPr>
          </w:p>
        </w:tc>
      </w:tr>
      <w:tr w:rsidR="006608A9" w:rsidTr="006D4A4E">
        <w:trPr>
          <w:trHeight w:val="624"/>
          <w:jc w:val="center"/>
        </w:trPr>
        <w:tc>
          <w:tcPr>
            <w:tcW w:w="2523" w:type="dxa"/>
            <w:tcBorders>
              <w:top w:val="single" w:sz="8" w:space="0" w:color="auto"/>
              <w:left w:val="nil"/>
              <w:bottom w:val="single" w:sz="8" w:space="0" w:color="auto"/>
              <w:right w:val="single" w:sz="8" w:space="0" w:color="auto"/>
            </w:tcBorders>
            <w:vAlign w:val="center"/>
            <w:hideMark/>
          </w:tcPr>
          <w:p w:rsidR="006608A9" w:rsidRDefault="006608A9" w:rsidP="006D4A4E">
            <w:pPr>
              <w:spacing w:line="400" w:lineRule="exact"/>
              <w:jc w:val="center"/>
              <w:rPr>
                <w:rFonts w:ascii="楷体_GB2312" w:eastAsia="楷体_GB2312"/>
                <w:sz w:val="36"/>
                <w:szCs w:val="36"/>
              </w:rPr>
            </w:pPr>
            <w:r>
              <w:rPr>
                <w:rFonts w:ascii="楷体_GB2312" w:eastAsia="楷体_GB2312" w:hint="eastAsia"/>
                <w:sz w:val="36"/>
                <w:szCs w:val="36"/>
              </w:rPr>
              <w:t>集体提案单位</w:t>
            </w:r>
            <w:r>
              <w:t> </w:t>
            </w:r>
          </w:p>
          <w:p w:rsidR="006608A9" w:rsidRDefault="006608A9" w:rsidP="006D4A4E">
            <w:pPr>
              <w:spacing w:line="400" w:lineRule="exact"/>
              <w:jc w:val="center"/>
              <w:rPr>
                <w:rFonts w:ascii="楷体_GB2312" w:eastAsia="楷体_GB2312"/>
                <w:sz w:val="36"/>
                <w:szCs w:val="36"/>
              </w:rPr>
            </w:pPr>
            <w:r>
              <w:rPr>
                <w:rFonts w:ascii="楷体_GB2312" w:eastAsia="楷体_GB2312" w:hint="eastAsia"/>
                <w:sz w:val="36"/>
                <w:szCs w:val="36"/>
              </w:rPr>
              <w:t>负责人签名处</w:t>
            </w:r>
            <w:r>
              <w:t> </w:t>
            </w:r>
          </w:p>
        </w:tc>
        <w:tc>
          <w:tcPr>
            <w:tcW w:w="7332" w:type="dxa"/>
            <w:gridSpan w:val="3"/>
            <w:tcBorders>
              <w:top w:val="single" w:sz="8" w:space="0" w:color="auto"/>
              <w:left w:val="nil"/>
              <w:bottom w:val="single" w:sz="8" w:space="0" w:color="auto"/>
              <w:right w:val="nil"/>
            </w:tcBorders>
          </w:tcPr>
          <w:p w:rsidR="006608A9" w:rsidRDefault="006608A9" w:rsidP="006D4A4E">
            <w:pPr>
              <w:spacing w:line="560" w:lineRule="exact"/>
              <w:jc w:val="center"/>
              <w:rPr>
                <w:rFonts w:ascii="方正小标宋简体" w:eastAsia="方正小标宋简体"/>
                <w:sz w:val="40"/>
                <w:szCs w:val="40"/>
              </w:rPr>
            </w:pPr>
          </w:p>
        </w:tc>
      </w:tr>
      <w:tr w:rsidR="006608A9" w:rsidTr="006D4A4E">
        <w:trPr>
          <w:trHeight w:val="187"/>
          <w:jc w:val="center"/>
        </w:trPr>
        <w:tc>
          <w:tcPr>
            <w:tcW w:w="9855" w:type="dxa"/>
            <w:gridSpan w:val="4"/>
            <w:tcBorders>
              <w:top w:val="single" w:sz="8" w:space="0" w:color="auto"/>
              <w:left w:val="nil"/>
              <w:bottom w:val="single" w:sz="8" w:space="0" w:color="auto"/>
              <w:right w:val="nil"/>
            </w:tcBorders>
          </w:tcPr>
          <w:p w:rsidR="006608A9" w:rsidRDefault="006608A9" w:rsidP="006D4A4E">
            <w:pPr>
              <w:spacing w:line="40" w:lineRule="exact"/>
              <w:jc w:val="center"/>
              <w:rPr>
                <w:rFonts w:ascii="方正小标宋简体" w:eastAsia="方正小标宋简体"/>
                <w:sz w:val="11"/>
                <w:szCs w:val="11"/>
                <w:u w:val="single"/>
              </w:rPr>
            </w:pPr>
          </w:p>
        </w:tc>
      </w:tr>
      <w:tr w:rsidR="006608A9" w:rsidTr="006D4A4E">
        <w:trPr>
          <w:cantSplit/>
          <w:trHeight w:val="907"/>
          <w:jc w:val="center"/>
        </w:trPr>
        <w:tc>
          <w:tcPr>
            <w:tcW w:w="2523" w:type="dxa"/>
            <w:vMerge w:val="restart"/>
            <w:tcBorders>
              <w:top w:val="nil"/>
              <w:left w:val="nil"/>
              <w:bottom w:val="single" w:sz="8" w:space="0" w:color="auto"/>
              <w:right w:val="single" w:sz="8" w:space="0" w:color="auto"/>
            </w:tcBorders>
            <w:vAlign w:val="center"/>
            <w:hideMark/>
          </w:tcPr>
          <w:p w:rsidR="006608A9" w:rsidRDefault="006608A9" w:rsidP="006D4A4E">
            <w:pPr>
              <w:spacing w:line="600" w:lineRule="exact"/>
              <w:jc w:val="center"/>
              <w:rPr>
                <w:rFonts w:ascii="楷体_GB2312" w:eastAsia="楷体_GB2312"/>
                <w:sz w:val="36"/>
                <w:szCs w:val="36"/>
              </w:rPr>
            </w:pPr>
            <w:r>
              <w:rPr>
                <w:rFonts w:ascii="楷体_GB2312" w:eastAsia="楷体_GB2312" w:hint="eastAsia"/>
                <w:sz w:val="36"/>
                <w:szCs w:val="36"/>
              </w:rPr>
              <w:t>提案审查</w:t>
            </w:r>
            <w:r>
              <w:t> </w:t>
            </w:r>
          </w:p>
          <w:p w:rsidR="006608A9" w:rsidRDefault="006608A9" w:rsidP="006D4A4E">
            <w:pPr>
              <w:spacing w:line="600" w:lineRule="exact"/>
              <w:jc w:val="center"/>
              <w:rPr>
                <w:rFonts w:ascii="楷体_GB2312" w:eastAsia="楷体_GB2312"/>
                <w:sz w:val="36"/>
                <w:szCs w:val="36"/>
              </w:rPr>
            </w:pPr>
            <w:r>
              <w:rPr>
                <w:rFonts w:ascii="楷体_GB2312" w:eastAsia="楷体_GB2312" w:hint="eastAsia"/>
                <w:sz w:val="36"/>
                <w:szCs w:val="36"/>
              </w:rPr>
              <w:t>机构意见</w:t>
            </w:r>
            <w:r>
              <w:t> </w:t>
            </w:r>
          </w:p>
        </w:tc>
        <w:tc>
          <w:tcPr>
            <w:tcW w:w="2316" w:type="dxa"/>
            <w:vMerge w:val="restart"/>
            <w:tcBorders>
              <w:top w:val="single" w:sz="8" w:space="0" w:color="auto"/>
              <w:left w:val="nil"/>
              <w:bottom w:val="single" w:sz="8" w:space="0" w:color="auto"/>
              <w:right w:val="single" w:sz="8" w:space="0" w:color="auto"/>
            </w:tcBorders>
          </w:tcPr>
          <w:p w:rsidR="006608A9" w:rsidRDefault="006608A9" w:rsidP="006D4A4E">
            <w:pPr>
              <w:spacing w:line="600" w:lineRule="exact"/>
              <w:jc w:val="center"/>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6608A9" w:rsidRDefault="006608A9" w:rsidP="006608A9">
            <w:pPr>
              <w:spacing w:line="600" w:lineRule="exact"/>
              <w:rPr>
                <w:rFonts w:ascii="楷体_GB2312" w:eastAsia="楷体_GB2312"/>
                <w:sz w:val="36"/>
                <w:szCs w:val="36"/>
              </w:rPr>
            </w:pPr>
            <w:r>
              <w:rPr>
                <w:rFonts w:ascii="楷体_GB2312" w:eastAsia="楷体_GB2312" w:hint="eastAsia"/>
                <w:sz w:val="36"/>
                <w:szCs w:val="36"/>
              </w:rPr>
              <w:t>主办：</w:t>
            </w:r>
            <w:r>
              <w:t> </w:t>
            </w:r>
          </w:p>
        </w:tc>
      </w:tr>
      <w:tr w:rsidR="006608A9" w:rsidTr="006D4A4E">
        <w:trPr>
          <w:cantSplit/>
          <w:trHeight w:val="907"/>
          <w:jc w:val="center"/>
        </w:trPr>
        <w:tc>
          <w:tcPr>
            <w:tcW w:w="9855" w:type="dxa"/>
            <w:vMerge/>
            <w:tcBorders>
              <w:top w:val="nil"/>
              <w:left w:val="nil"/>
              <w:bottom w:val="single" w:sz="8" w:space="0" w:color="auto"/>
              <w:right w:val="single" w:sz="8" w:space="0" w:color="auto"/>
            </w:tcBorders>
            <w:vAlign w:val="center"/>
            <w:hideMark/>
          </w:tcPr>
          <w:p w:rsidR="006608A9" w:rsidRDefault="006608A9" w:rsidP="006D4A4E">
            <w:pPr>
              <w:widowControl/>
              <w:jc w:val="left"/>
              <w:rPr>
                <w:rFonts w:ascii="楷体_GB2312" w:eastAsia="楷体_GB2312"/>
                <w:sz w:val="36"/>
                <w:szCs w:val="36"/>
              </w:rPr>
            </w:pPr>
          </w:p>
        </w:tc>
        <w:tc>
          <w:tcPr>
            <w:tcW w:w="7332" w:type="dxa"/>
            <w:vMerge/>
            <w:tcBorders>
              <w:top w:val="single" w:sz="8" w:space="0" w:color="auto"/>
              <w:left w:val="nil"/>
              <w:bottom w:val="single" w:sz="8" w:space="0" w:color="auto"/>
              <w:right w:val="single" w:sz="8" w:space="0" w:color="auto"/>
            </w:tcBorders>
            <w:vAlign w:val="center"/>
            <w:hideMark/>
          </w:tcPr>
          <w:p w:rsidR="006608A9" w:rsidRDefault="006608A9" w:rsidP="006D4A4E">
            <w:pPr>
              <w:widowControl/>
              <w:jc w:val="left"/>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6608A9" w:rsidRDefault="006608A9" w:rsidP="006608A9">
            <w:pPr>
              <w:spacing w:line="600" w:lineRule="exact"/>
              <w:rPr>
                <w:rFonts w:ascii="楷体_GB2312" w:eastAsia="楷体_GB2312"/>
                <w:sz w:val="36"/>
                <w:szCs w:val="36"/>
              </w:rPr>
            </w:pPr>
            <w:r>
              <w:rPr>
                <w:rFonts w:ascii="楷体_GB2312" w:eastAsia="楷体_GB2312" w:hint="eastAsia"/>
                <w:sz w:val="36"/>
                <w:szCs w:val="36"/>
              </w:rPr>
              <w:t>会办：</w:t>
            </w:r>
            <w:r>
              <w:t> </w:t>
            </w:r>
            <w:bookmarkStart w:id="0" w:name="_GoBack"/>
            <w:bookmarkEnd w:id="0"/>
          </w:p>
        </w:tc>
      </w:tr>
    </w:tbl>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6608A9" w:rsidRDefault="006608A9" w:rsidP="006608A9">
      <w:pPr>
        <w:spacing w:line="560" w:lineRule="exact"/>
        <w:ind w:firstLineChars="1600" w:firstLine="5760"/>
        <w:rPr>
          <w:rFonts w:ascii="楷体_GB2312" w:eastAsia="楷体_GB2312" w:hint="eastAsia"/>
          <w:sz w:val="36"/>
          <w:szCs w:val="36"/>
        </w:rPr>
      </w:pPr>
      <w:r>
        <w:rPr>
          <w:rFonts w:ascii="楷体_GB2312" w:eastAsia="楷体_GB2312" w:hint="eastAsia"/>
          <w:sz w:val="36"/>
          <w:szCs w:val="36"/>
        </w:rPr>
        <w:t>二</w:t>
      </w:r>
      <w:r>
        <w:rPr>
          <w:rFonts w:eastAsia="楷体_GB2312"/>
          <w:sz w:val="36"/>
          <w:szCs w:val="36"/>
        </w:rPr>
        <w:t xml:space="preserve">O    </w:t>
      </w:r>
      <w:r>
        <w:rPr>
          <w:rFonts w:ascii="楷体_GB2312" w:eastAsia="楷体_GB2312" w:hint="eastAsia"/>
          <w:sz w:val="36"/>
          <w:szCs w:val="36"/>
        </w:rPr>
        <w:t>年 月 日</w:t>
      </w:r>
      <w:r>
        <w:t xml:space="preserve"> </w:t>
      </w:r>
    </w:p>
    <w:p w:rsidR="006608A9" w:rsidRDefault="006608A9" w:rsidP="006608A9">
      <w:pPr>
        <w:spacing w:line="40" w:lineRule="exact"/>
        <w:rPr>
          <w:rFonts w:ascii="黑体" w:eastAsia="黑体" w:hAnsi="宋体" w:hint="eastAsia"/>
          <w:sz w:val="36"/>
          <w:szCs w:val="36"/>
        </w:rPr>
      </w:pPr>
      <w:r>
        <w:rPr>
          <w:rFonts w:ascii="黑体" w:eastAsia="黑体" w:hAnsi="宋体" w:hint="eastAsia"/>
          <w:sz w:val="36"/>
          <w:szCs w:val="36"/>
        </w:rPr>
        <w:t xml:space="preserve"> </w:t>
      </w:r>
      <w:r>
        <w:t xml:space="preserve"> </w:t>
      </w:r>
    </w:p>
    <w:tbl>
      <w:tblPr>
        <w:tblW w:w="0" w:type="auto"/>
        <w:jc w:val="center"/>
        <w:tblLayout w:type="fixed"/>
        <w:tblLook w:val="04A0" w:firstRow="1" w:lastRow="0" w:firstColumn="1" w:lastColumn="0" w:noHBand="0" w:noVBand="1"/>
      </w:tblPr>
      <w:tblGrid>
        <w:gridCol w:w="9175"/>
      </w:tblGrid>
      <w:tr w:rsidR="006608A9" w:rsidTr="006D4A4E">
        <w:trPr>
          <w:trHeight w:val="13061"/>
          <w:jc w:val="center"/>
        </w:trPr>
        <w:tc>
          <w:tcPr>
            <w:tcW w:w="9175" w:type="dxa"/>
            <w:tcBorders>
              <w:top w:val="single" w:sz="8" w:space="0" w:color="auto"/>
              <w:left w:val="single" w:sz="8" w:space="0" w:color="auto"/>
              <w:bottom w:val="single" w:sz="8" w:space="0" w:color="auto"/>
              <w:right w:val="single" w:sz="8" w:space="0" w:color="auto"/>
            </w:tcBorders>
          </w:tcPr>
          <w:p w:rsidR="006608A9" w:rsidRDefault="006608A9" w:rsidP="006D4A4E">
            <w:pPr>
              <w:spacing w:line="560" w:lineRule="exact"/>
              <w:rPr>
                <w:rFonts w:ascii="黑体" w:eastAsia="黑体" w:hAnsi="宋体"/>
                <w:sz w:val="36"/>
                <w:szCs w:val="36"/>
              </w:rPr>
            </w:pPr>
            <w:r>
              <w:rPr>
                <w:rFonts w:ascii="黑体" w:eastAsia="黑体" w:hAnsi="宋体" w:hint="eastAsia"/>
                <w:sz w:val="36"/>
                <w:szCs w:val="36"/>
              </w:rPr>
              <w:lastRenderedPageBreak/>
              <w:t>内容：</w:t>
            </w:r>
            <w:r>
              <w:t> </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目前随着行政审批制度的不断改革，特别是</w:t>
            </w:r>
            <w:proofErr w:type="gramStart"/>
            <w:r>
              <w:rPr>
                <w:rFonts w:ascii="宋体" w:hAnsi="宋体" w:hint="eastAsia"/>
                <w:sz w:val="28"/>
                <w:szCs w:val="28"/>
              </w:rPr>
              <w:t>“</w:t>
            </w:r>
            <w:proofErr w:type="gramEnd"/>
            <w:r>
              <w:rPr>
                <w:rFonts w:ascii="宋体" w:hAnsi="宋体" w:hint="eastAsia"/>
                <w:sz w:val="28"/>
                <w:szCs w:val="28"/>
              </w:rPr>
              <w:t>最多跑一次“和”资本金认缴制“实施后，进一步放宽了公司设立的门槛与要求，十分有利于调动投资创业的积极性，公司经营发展的责任主体由企业主体和股东充分承担，但如果公司盲目或不合</w:t>
            </w:r>
            <w:proofErr w:type="gramStart"/>
            <w:r>
              <w:rPr>
                <w:rFonts w:ascii="宋体" w:hAnsi="宋体" w:hint="eastAsia"/>
                <w:sz w:val="28"/>
                <w:szCs w:val="28"/>
              </w:rPr>
              <w:t>规</w:t>
            </w:r>
            <w:proofErr w:type="gramEnd"/>
            <w:r>
              <w:rPr>
                <w:rFonts w:ascii="宋体" w:hAnsi="宋体" w:hint="eastAsia"/>
                <w:sz w:val="28"/>
                <w:szCs w:val="28"/>
              </w:rPr>
              <w:t>发展也可能导致公司股东、相关债权人甚至地方政府面临的风险被进一步放大。</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与行政审批制度放宽相对应的是人民群众的法律意识虽有所加强，但可能仍未达到较高水准，特别是中小型民营企业投资和生产经营过程中缺乏严谨的审查决策流程，法</w:t>
            </w:r>
            <w:proofErr w:type="gramStart"/>
            <w:r>
              <w:rPr>
                <w:rFonts w:ascii="宋体" w:hAnsi="宋体" w:hint="eastAsia"/>
                <w:sz w:val="28"/>
                <w:szCs w:val="28"/>
              </w:rPr>
              <w:t>务</w:t>
            </w:r>
            <w:proofErr w:type="gramEnd"/>
            <w:r>
              <w:rPr>
                <w:rFonts w:ascii="宋体" w:hAnsi="宋体" w:hint="eastAsia"/>
                <w:sz w:val="28"/>
                <w:szCs w:val="28"/>
              </w:rPr>
              <w:t>保障措施非常薄弱甚至没有，很多企业主停留在</w:t>
            </w:r>
            <w:proofErr w:type="gramStart"/>
            <w:r>
              <w:rPr>
                <w:rFonts w:ascii="宋体" w:hAnsi="宋体" w:hint="eastAsia"/>
                <w:sz w:val="28"/>
                <w:szCs w:val="28"/>
              </w:rPr>
              <w:t>“</w:t>
            </w:r>
            <w:proofErr w:type="gramEnd"/>
            <w:r>
              <w:rPr>
                <w:rFonts w:ascii="宋体" w:hAnsi="宋体" w:hint="eastAsia"/>
                <w:sz w:val="28"/>
                <w:szCs w:val="28"/>
              </w:rPr>
              <w:t>个体老板“意识，主要看经济利益，缺乏对各类法律风险的防范意识和社会责任承担意识，特别是潜在风险问题更不容易被预见和防范，轻则合同亏损，重则导致企业破产等各种后果。</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导致这种情况的直接原因固然是企业主或经营者缺乏主动法律意识，但究其根本原因是法律风险具有偶发性和不确定性，在平时的生产经营过程中不具有可识别性，只有当风险和危机出现的时候才会引起经营者的高度注意，但往往为时已晚，所有过程已履行完毕，所有凭证材料已成定局，导致基于事实的法律服务往往无能为力，企业也将面临不同程度的损失，并且很多中小企业主往往怕多事怕麻烦的心态，或者因为维权的时间和财务成本过高，较少拿起法律武器来直面并解决问题。</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对此，建议从3个方面来给予民营企业一定的法律服务，提升民营企业的法律意识和法</w:t>
            </w:r>
            <w:proofErr w:type="gramStart"/>
            <w:r>
              <w:rPr>
                <w:rFonts w:ascii="宋体" w:hAnsi="宋体" w:hint="eastAsia"/>
                <w:sz w:val="28"/>
                <w:szCs w:val="28"/>
              </w:rPr>
              <w:t>务</w:t>
            </w:r>
            <w:proofErr w:type="gramEnd"/>
            <w:r>
              <w:rPr>
                <w:rFonts w:ascii="宋体" w:hAnsi="宋体" w:hint="eastAsia"/>
                <w:sz w:val="28"/>
                <w:szCs w:val="28"/>
              </w:rPr>
              <w:t>保障：</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1、建立多维度多层次的长效法律普及培训和考核机制</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建议聘请市内不同领域具有丰富法务实操的律师组成我市民营企业法律顾问团，针对性地对建筑业、纺织业、机械制造业、外贸业、市场经营户等具有不同特征的企业开展培训，借助现在网络便捷的方式，采取定期线上网络直播（面向全国）和不定期线下开班面授的方式（满员即开班），</w:t>
            </w:r>
            <w:r>
              <w:rPr>
                <w:rFonts w:ascii="宋体" w:hAnsi="宋体" w:hint="eastAsia"/>
                <w:sz w:val="28"/>
                <w:szCs w:val="28"/>
              </w:rPr>
              <w:lastRenderedPageBreak/>
              <w:t>系统地对《合同法》、《公司法》、《税法》这3大法律进行培训解析；</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建议在电子政务内把法律常识进行在线测评，以年度为单位对企业负责人进行法律尝试进行长效评价，进一步研究考核结果的应用；</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2、试行普惠性“企业法</w:t>
            </w:r>
            <w:proofErr w:type="gramStart"/>
            <w:r>
              <w:rPr>
                <w:rFonts w:ascii="宋体" w:hAnsi="宋体" w:hint="eastAsia"/>
                <w:sz w:val="28"/>
                <w:szCs w:val="28"/>
              </w:rPr>
              <w:t>务</w:t>
            </w:r>
            <w:proofErr w:type="gramEnd"/>
            <w:r>
              <w:rPr>
                <w:rFonts w:ascii="宋体" w:hAnsi="宋体" w:hint="eastAsia"/>
                <w:sz w:val="28"/>
                <w:szCs w:val="28"/>
              </w:rPr>
              <w:t>抵用</w:t>
            </w:r>
            <w:proofErr w:type="gramStart"/>
            <w:r>
              <w:rPr>
                <w:rFonts w:ascii="宋体" w:hAnsi="宋体" w:hint="eastAsia"/>
                <w:sz w:val="28"/>
                <w:szCs w:val="28"/>
              </w:rPr>
              <w:t>券</w:t>
            </w:r>
            <w:proofErr w:type="gramEnd"/>
            <w:r>
              <w:rPr>
                <w:rFonts w:ascii="宋体" w:hAnsi="宋体" w:hint="eastAsia"/>
                <w:sz w:val="28"/>
                <w:szCs w:val="28"/>
              </w:rPr>
              <w:t>”</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目前科技系统推广实施的“科技创新券”具有较好的效果，企业可凭科技创新</w:t>
            </w:r>
            <w:proofErr w:type="gramStart"/>
            <w:r>
              <w:rPr>
                <w:rFonts w:ascii="宋体" w:hAnsi="宋体" w:hint="eastAsia"/>
                <w:sz w:val="28"/>
                <w:szCs w:val="28"/>
              </w:rPr>
              <w:t>券</w:t>
            </w:r>
            <w:proofErr w:type="gramEnd"/>
            <w:r>
              <w:rPr>
                <w:rFonts w:ascii="宋体" w:hAnsi="宋体" w:hint="eastAsia"/>
                <w:sz w:val="28"/>
                <w:szCs w:val="28"/>
              </w:rPr>
              <w:t>向科研机构或平台购买科研服务，既盘活了现有科研资产又激发了中小企业的科研需求，</w:t>
            </w:r>
            <w:proofErr w:type="gramStart"/>
            <w:r>
              <w:rPr>
                <w:rFonts w:ascii="宋体" w:hAnsi="宋体" w:hint="eastAsia"/>
                <w:sz w:val="28"/>
                <w:szCs w:val="28"/>
              </w:rPr>
              <w:t>具有较号的</w:t>
            </w:r>
            <w:proofErr w:type="gramEnd"/>
            <w:r>
              <w:rPr>
                <w:rFonts w:ascii="宋体" w:hAnsi="宋体" w:hint="eastAsia"/>
                <w:sz w:val="28"/>
                <w:szCs w:val="28"/>
              </w:rPr>
              <w:t>效果。因此建议我市可率先参照试行“企业法</w:t>
            </w:r>
            <w:proofErr w:type="gramStart"/>
            <w:r>
              <w:rPr>
                <w:rFonts w:ascii="宋体" w:hAnsi="宋体" w:hint="eastAsia"/>
                <w:sz w:val="28"/>
                <w:szCs w:val="28"/>
              </w:rPr>
              <w:t>务</w:t>
            </w:r>
            <w:proofErr w:type="gramEnd"/>
            <w:r>
              <w:rPr>
                <w:rFonts w:ascii="宋体" w:hAnsi="宋体" w:hint="eastAsia"/>
                <w:sz w:val="28"/>
                <w:szCs w:val="28"/>
              </w:rPr>
              <w:t>抵用</w:t>
            </w:r>
            <w:proofErr w:type="gramStart"/>
            <w:r>
              <w:rPr>
                <w:rFonts w:ascii="宋体" w:hAnsi="宋体" w:hint="eastAsia"/>
                <w:sz w:val="28"/>
                <w:szCs w:val="28"/>
              </w:rPr>
              <w:t>券</w:t>
            </w:r>
            <w:proofErr w:type="gramEnd"/>
            <w:r>
              <w:rPr>
                <w:rFonts w:ascii="宋体" w:hAnsi="宋体" w:hint="eastAsia"/>
                <w:sz w:val="28"/>
                <w:szCs w:val="28"/>
              </w:rPr>
              <w:t>”，企业可用该券聘请相应的律师进行法律事务咨询、重大合同审查、诉讼聘请律师等，可有效提高我市企业法</w:t>
            </w:r>
            <w:proofErr w:type="gramStart"/>
            <w:r>
              <w:rPr>
                <w:rFonts w:ascii="宋体" w:hAnsi="宋体" w:hint="eastAsia"/>
                <w:sz w:val="28"/>
                <w:szCs w:val="28"/>
              </w:rPr>
              <w:t>务</w:t>
            </w:r>
            <w:proofErr w:type="gramEnd"/>
            <w:r>
              <w:rPr>
                <w:rFonts w:ascii="宋体" w:hAnsi="宋体" w:hint="eastAsia"/>
                <w:sz w:val="28"/>
                <w:szCs w:val="28"/>
              </w:rPr>
              <w:t>介入的广度和深度，保障我市企业生产经营更稳健、更合</w:t>
            </w:r>
            <w:proofErr w:type="gramStart"/>
            <w:r>
              <w:rPr>
                <w:rFonts w:ascii="宋体" w:hAnsi="宋体" w:hint="eastAsia"/>
                <w:sz w:val="28"/>
                <w:szCs w:val="28"/>
              </w:rPr>
              <w:t>规</w:t>
            </w:r>
            <w:proofErr w:type="gramEnd"/>
            <w:r>
              <w:rPr>
                <w:rFonts w:ascii="宋体" w:hAnsi="宋体" w:hint="eastAsia"/>
                <w:sz w:val="28"/>
                <w:szCs w:val="28"/>
              </w:rPr>
              <w:t>。</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3、针对性开放特定案例邀请民营企业庭审旁听</w:t>
            </w:r>
          </w:p>
          <w:p w:rsidR="006608A9" w:rsidRDefault="006608A9" w:rsidP="006D4A4E">
            <w:pPr>
              <w:spacing w:line="560" w:lineRule="exact"/>
              <w:ind w:firstLineChars="200" w:firstLine="560"/>
              <w:rPr>
                <w:rFonts w:ascii="宋体" w:hAnsi="宋体" w:hint="eastAsia"/>
                <w:sz w:val="28"/>
                <w:szCs w:val="28"/>
              </w:rPr>
            </w:pPr>
            <w:r>
              <w:rPr>
                <w:rFonts w:ascii="宋体" w:hAnsi="宋体" w:hint="eastAsia"/>
                <w:sz w:val="28"/>
                <w:szCs w:val="28"/>
              </w:rPr>
              <w:t>人民法院可根据实际情况，对具有典型性的个别案例针对性邀请相关行业企业负责人参与庭审旁听，如合同纠纷、连带担保、消防火灾等具有代表性的特殊案情、并在庭审结束后进行案情回溯解析研讨会，便于民营企业负责人切身感受企业经营中合法合</w:t>
            </w:r>
            <w:proofErr w:type="gramStart"/>
            <w:r>
              <w:rPr>
                <w:rFonts w:ascii="宋体" w:hAnsi="宋体" w:hint="eastAsia"/>
                <w:sz w:val="28"/>
                <w:szCs w:val="28"/>
              </w:rPr>
              <w:t>规</w:t>
            </w:r>
            <w:proofErr w:type="gramEnd"/>
            <w:r>
              <w:rPr>
                <w:rFonts w:ascii="宋体" w:hAnsi="宋体" w:hint="eastAsia"/>
                <w:sz w:val="28"/>
                <w:szCs w:val="28"/>
              </w:rPr>
              <w:t>的必要性和严肃性，避免企业蒙受经济损失，也避免企业负责人承受不必要的刑事和民事责任。</w:t>
            </w:r>
          </w:p>
          <w:p w:rsidR="006608A9" w:rsidRDefault="006608A9" w:rsidP="006D4A4E">
            <w:pPr>
              <w:spacing w:line="560" w:lineRule="exact"/>
              <w:ind w:firstLineChars="200" w:firstLine="560"/>
              <w:rPr>
                <w:rFonts w:ascii="宋体" w:hAnsi="宋体" w:hint="eastAsia"/>
                <w:sz w:val="28"/>
                <w:szCs w:val="28"/>
              </w:rPr>
            </w:pPr>
          </w:p>
          <w:p w:rsidR="006608A9" w:rsidRDefault="006608A9" w:rsidP="006D4A4E">
            <w:pPr>
              <w:spacing w:line="560" w:lineRule="exact"/>
              <w:ind w:firstLineChars="200" w:firstLine="560"/>
              <w:rPr>
                <w:rFonts w:ascii="仿宋_GB2312" w:eastAsia="仿宋_GB2312"/>
                <w:sz w:val="28"/>
                <w:szCs w:val="28"/>
              </w:rPr>
            </w:pPr>
            <w:r>
              <w:rPr>
                <w:rFonts w:ascii="宋体" w:hAnsi="宋体" w:hint="eastAsia"/>
                <w:sz w:val="28"/>
                <w:szCs w:val="28"/>
              </w:rPr>
              <w:t xml:space="preserve">      </w:t>
            </w:r>
          </w:p>
        </w:tc>
      </w:tr>
    </w:tbl>
    <w:p w:rsidR="006608A9" w:rsidRDefault="006608A9" w:rsidP="006608A9">
      <w:pPr>
        <w:widowControl/>
        <w:jc w:val="left"/>
        <w:rPr>
          <w:rFonts w:ascii="宋体" w:hAnsi="宋体" w:hint="eastAsia"/>
          <w:kern w:val="0"/>
          <w:sz w:val="24"/>
          <w:szCs w:val="24"/>
        </w:rPr>
      </w:pPr>
      <w:r>
        <w:rPr>
          <w:rFonts w:ascii="宋体" w:hAnsi="宋体" w:hint="eastAsia"/>
          <w:kern w:val="0"/>
          <w:sz w:val="24"/>
          <w:szCs w:val="24"/>
        </w:rPr>
        <w:lastRenderedPageBreak/>
        <w:t xml:space="preserve"> </w:t>
      </w:r>
    </w:p>
    <w:p w:rsidR="00D46B9D" w:rsidRPr="006608A9" w:rsidRDefault="00D46B9D"/>
    <w:sectPr w:rsidR="00D46B9D" w:rsidRPr="006608A9">
      <w:pgSz w:w="11915" w:h="16840"/>
      <w:pgMar w:top="1077" w:right="1135" w:bottom="1077" w:left="113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82" w:rsidRDefault="000F7782" w:rsidP="006608A9">
      <w:r>
        <w:separator/>
      </w:r>
    </w:p>
  </w:endnote>
  <w:endnote w:type="continuationSeparator" w:id="0">
    <w:p w:rsidR="000F7782" w:rsidRDefault="000F7782" w:rsidP="0066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82" w:rsidRDefault="000F7782" w:rsidP="006608A9">
      <w:r>
        <w:separator/>
      </w:r>
    </w:p>
  </w:footnote>
  <w:footnote w:type="continuationSeparator" w:id="0">
    <w:p w:rsidR="000F7782" w:rsidRDefault="000F7782" w:rsidP="00660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13"/>
    <w:rsid w:val="000F7782"/>
    <w:rsid w:val="005E4513"/>
    <w:rsid w:val="006608A9"/>
    <w:rsid w:val="00D4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8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08A9"/>
    <w:rPr>
      <w:sz w:val="18"/>
      <w:szCs w:val="18"/>
    </w:rPr>
  </w:style>
  <w:style w:type="paragraph" w:styleId="a4">
    <w:name w:val="footer"/>
    <w:basedOn w:val="a"/>
    <w:link w:val="Char0"/>
    <w:uiPriority w:val="99"/>
    <w:unhideWhenUsed/>
    <w:rsid w:val="006608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08A9"/>
    <w:rPr>
      <w:sz w:val="18"/>
      <w:szCs w:val="18"/>
    </w:rPr>
  </w:style>
  <w:style w:type="character" w:styleId="a5">
    <w:name w:val="Hyperlink"/>
    <w:basedOn w:val="a0"/>
    <w:uiPriority w:val="99"/>
    <w:rsid w:val="00660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8A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08A9"/>
    <w:rPr>
      <w:sz w:val="18"/>
      <w:szCs w:val="18"/>
    </w:rPr>
  </w:style>
  <w:style w:type="paragraph" w:styleId="a4">
    <w:name w:val="footer"/>
    <w:basedOn w:val="a"/>
    <w:link w:val="Char0"/>
    <w:uiPriority w:val="99"/>
    <w:unhideWhenUsed/>
    <w:rsid w:val="006608A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08A9"/>
    <w:rPr>
      <w:sz w:val="18"/>
      <w:szCs w:val="18"/>
    </w:rPr>
  </w:style>
  <w:style w:type="character" w:styleId="a5">
    <w:name w:val="Hyperlink"/>
    <w:basedOn w:val="a0"/>
    <w:uiPriority w:val="99"/>
    <w:rsid w:val="00660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田玲燕</dc:creator>
  <cp:keywords/>
  <dc:description/>
  <cp:lastModifiedBy>田玲燕</cp:lastModifiedBy>
  <cp:revision>2</cp:revision>
  <dcterms:created xsi:type="dcterms:W3CDTF">2020-09-15T07:56:00Z</dcterms:created>
  <dcterms:modified xsi:type="dcterms:W3CDTF">2020-09-15T07:56:00Z</dcterms:modified>
</cp:coreProperties>
</file>